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1DC1" w14:textId="0C478721" w:rsidR="00FF44F7" w:rsidRDefault="00FF44F7" w:rsidP="003138B6">
      <w:pPr>
        <w:spacing w:after="0" w:line="240" w:lineRule="auto"/>
        <w:jc w:val="center"/>
      </w:pPr>
      <w:bookmarkStart w:id="0" w:name="_GoBack"/>
      <w:bookmarkEnd w:id="0"/>
      <w:r>
        <w:rPr>
          <w:noProof/>
        </w:rPr>
        <w:drawing>
          <wp:inline distT="0" distB="0" distL="0" distR="0" wp14:anchorId="3A57E637" wp14:editId="63C2A06D">
            <wp:extent cx="3124200" cy="250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lineLogoBlackHorizontal.jpg"/>
                    <pic:cNvPicPr/>
                  </pic:nvPicPr>
                  <pic:blipFill>
                    <a:blip r:embed="rId5">
                      <a:extLst>
                        <a:ext uri="{28A0092B-C50C-407E-A947-70E740481C1C}">
                          <a14:useLocalDpi xmlns:a14="http://schemas.microsoft.com/office/drawing/2010/main" val="0"/>
                        </a:ext>
                      </a:extLst>
                    </a:blip>
                    <a:stretch>
                      <a:fillRect/>
                    </a:stretch>
                  </pic:blipFill>
                  <pic:spPr>
                    <a:xfrm>
                      <a:off x="0" y="0"/>
                      <a:ext cx="4357881" cy="348725"/>
                    </a:xfrm>
                    <a:prstGeom prst="rect">
                      <a:avLst/>
                    </a:prstGeom>
                  </pic:spPr>
                </pic:pic>
              </a:graphicData>
            </a:graphic>
          </wp:inline>
        </w:drawing>
      </w:r>
    </w:p>
    <w:p w14:paraId="5A485BB0" w14:textId="77777777" w:rsidR="003138B6" w:rsidRDefault="003138B6" w:rsidP="00FF44F7">
      <w:pPr>
        <w:pStyle w:val="Heading2"/>
        <w:spacing w:before="0" w:line="240" w:lineRule="auto"/>
        <w:jc w:val="center"/>
        <w:rPr>
          <w:b/>
          <w:noProof/>
        </w:rPr>
      </w:pPr>
    </w:p>
    <w:p w14:paraId="2F17A17B" w14:textId="76F2E1BE" w:rsidR="00FF44F7" w:rsidRPr="0042573E" w:rsidRDefault="00FF44F7" w:rsidP="00FF44F7">
      <w:pPr>
        <w:pStyle w:val="Heading2"/>
        <w:spacing w:before="0" w:line="240" w:lineRule="auto"/>
        <w:jc w:val="center"/>
        <w:rPr>
          <w:b/>
        </w:rPr>
      </w:pPr>
      <w:r w:rsidRPr="0042573E">
        <w:rPr>
          <w:b/>
          <w:noProof/>
        </w:rPr>
        <w:t>Vision</w:t>
      </w:r>
      <w:r w:rsidRPr="0042573E">
        <w:rPr>
          <w:b/>
        </w:rPr>
        <w:t xml:space="preserve"> for Success Metrics</w:t>
      </w:r>
      <w:r w:rsidR="00B52048" w:rsidRPr="0042573E">
        <w:rPr>
          <w:b/>
        </w:rPr>
        <w:t xml:space="preserve"> and Goals</w:t>
      </w:r>
    </w:p>
    <w:p w14:paraId="3C917487" w14:textId="77777777" w:rsidR="003138B6" w:rsidRDefault="003138B6" w:rsidP="00FF44F7">
      <w:pPr>
        <w:spacing w:after="0" w:line="240" w:lineRule="auto"/>
        <w:rPr>
          <w:sz w:val="20"/>
        </w:rPr>
      </w:pPr>
    </w:p>
    <w:p w14:paraId="0F30A119" w14:textId="25491381" w:rsidR="007D0A6D" w:rsidRDefault="007D0A6D" w:rsidP="00FF44F7">
      <w:pPr>
        <w:spacing w:after="0" w:line="240" w:lineRule="auto"/>
        <w:rPr>
          <w:sz w:val="20"/>
        </w:rPr>
      </w:pPr>
      <w:r w:rsidRPr="0042573E">
        <w:rPr>
          <w:sz w:val="20"/>
        </w:rPr>
        <w:t xml:space="preserve">The success of California’s broader system of higher education and workforce development stands or falls with the CCCs. </w:t>
      </w:r>
      <w:r w:rsidRPr="0042573E">
        <w:rPr>
          <w:noProof/>
          <w:sz w:val="20"/>
        </w:rPr>
        <w:t>To meet California’s needs</w:t>
      </w:r>
      <w:r w:rsidRPr="0042573E">
        <w:rPr>
          <w:sz w:val="20"/>
        </w:rPr>
        <w:t>, the CCC system should strive to achieve the following goals by 2022:</w:t>
      </w:r>
    </w:p>
    <w:p w14:paraId="33302D58" w14:textId="77777777" w:rsidR="003138B6" w:rsidRPr="0042573E" w:rsidRDefault="003138B6" w:rsidP="00FF44F7">
      <w:pPr>
        <w:spacing w:after="0" w:line="240" w:lineRule="auto"/>
        <w:rPr>
          <w:sz w:val="20"/>
        </w:rPr>
      </w:pPr>
    </w:p>
    <w:p w14:paraId="52C5A19F" w14:textId="025DB1A6" w:rsidR="007D0A6D" w:rsidRPr="0042573E" w:rsidRDefault="007D0A6D" w:rsidP="00FF44F7">
      <w:pPr>
        <w:pStyle w:val="ListParagraph"/>
        <w:numPr>
          <w:ilvl w:val="0"/>
          <w:numId w:val="1"/>
        </w:numPr>
        <w:spacing w:after="0" w:line="240" w:lineRule="auto"/>
        <w:contextualSpacing w:val="0"/>
        <w:rPr>
          <w:sz w:val="20"/>
        </w:rPr>
      </w:pPr>
      <w:r w:rsidRPr="0042573E">
        <w:rPr>
          <w:sz w:val="20"/>
        </w:rPr>
        <w:t>Increase by at least 20 percent the number of CCC students annually who acquire associate degrees, credentials, certificates, or specific skill sets that prepare them for an in-demand job.</w:t>
      </w:r>
    </w:p>
    <w:p w14:paraId="02D63BD7" w14:textId="02A2EDA1" w:rsidR="007D0A6D" w:rsidRPr="0042573E" w:rsidRDefault="007D0A6D" w:rsidP="00FF44F7">
      <w:pPr>
        <w:pStyle w:val="ListParagraph"/>
        <w:numPr>
          <w:ilvl w:val="0"/>
          <w:numId w:val="1"/>
        </w:numPr>
        <w:spacing w:after="0" w:line="240" w:lineRule="auto"/>
        <w:contextualSpacing w:val="0"/>
        <w:rPr>
          <w:sz w:val="20"/>
        </w:rPr>
      </w:pPr>
      <w:r w:rsidRPr="0042573E">
        <w:rPr>
          <w:sz w:val="20"/>
        </w:rPr>
        <w:t>Increase by 35 percent the number of CCC students transferring annually to a UC or CSU.</w:t>
      </w:r>
    </w:p>
    <w:p w14:paraId="01228640" w14:textId="2C347665" w:rsidR="007D0A6D" w:rsidRPr="0042573E" w:rsidRDefault="007D0A6D" w:rsidP="00FF44F7">
      <w:pPr>
        <w:pStyle w:val="ListParagraph"/>
        <w:numPr>
          <w:ilvl w:val="0"/>
          <w:numId w:val="1"/>
        </w:numPr>
        <w:spacing w:after="0" w:line="240" w:lineRule="auto"/>
        <w:contextualSpacing w:val="0"/>
        <w:rPr>
          <w:sz w:val="20"/>
        </w:rPr>
      </w:pPr>
      <w:r w:rsidRPr="0042573E">
        <w:rPr>
          <w:sz w:val="2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p>
    <w:p w14:paraId="58852E8F" w14:textId="6CA985A2" w:rsidR="007D0A6D" w:rsidRPr="0042573E" w:rsidRDefault="007D0A6D" w:rsidP="00FF44F7">
      <w:pPr>
        <w:pStyle w:val="ListParagraph"/>
        <w:numPr>
          <w:ilvl w:val="0"/>
          <w:numId w:val="1"/>
        </w:numPr>
        <w:spacing w:after="0" w:line="240" w:lineRule="auto"/>
        <w:contextualSpacing w:val="0"/>
        <w:rPr>
          <w:sz w:val="20"/>
        </w:rPr>
      </w:pPr>
      <w:r w:rsidRPr="0042573E">
        <w:rPr>
          <w:sz w:val="20"/>
        </w:rPr>
        <w:t xml:space="preserve">Increase the percent of </w:t>
      </w:r>
      <w:r w:rsidRPr="0042573E">
        <w:rPr>
          <w:noProof/>
          <w:sz w:val="20"/>
        </w:rPr>
        <w:t>exi</w:t>
      </w:r>
      <w:r w:rsidR="00FB4EB7" w:rsidRPr="0042573E">
        <w:rPr>
          <w:noProof/>
          <w:sz w:val="20"/>
        </w:rPr>
        <w:t>s</w:t>
      </w:r>
      <w:r w:rsidRPr="0042573E">
        <w:rPr>
          <w:noProof/>
          <w:sz w:val="20"/>
        </w:rPr>
        <w:t>ting</w:t>
      </w:r>
      <w:r w:rsidRPr="0042573E">
        <w:rPr>
          <w:sz w:val="20"/>
        </w:rPr>
        <w:t xml:space="preserve"> CTE students who report being employed in their field of study, from the most recent statewide average of 60 percent to an improved rate of 69 percent—the average among the quintile of colleges showing the strongest performance on this measure.</w:t>
      </w:r>
    </w:p>
    <w:p w14:paraId="57BA3DB1" w14:textId="3A3CA37E" w:rsidR="007D0A6D" w:rsidRPr="0042573E" w:rsidRDefault="007D0A6D" w:rsidP="00FF44F7">
      <w:pPr>
        <w:pStyle w:val="ListParagraph"/>
        <w:numPr>
          <w:ilvl w:val="0"/>
          <w:numId w:val="1"/>
        </w:numPr>
        <w:spacing w:after="0" w:line="240" w:lineRule="auto"/>
        <w:contextualSpacing w:val="0"/>
        <w:rPr>
          <w:sz w:val="20"/>
        </w:rPr>
      </w:pPr>
      <w:r w:rsidRPr="0042573E">
        <w:rPr>
          <w:sz w:val="20"/>
        </w:rPr>
        <w:t>Reduce equity gaps across all the above measures through faster improvements among traditionally underrepresented student groups, with the goal of cutting achievement gaps by 40 percent within 5 years and fully closing those achievement gaps within 10 years.</w:t>
      </w:r>
    </w:p>
    <w:p w14:paraId="17A38BD7" w14:textId="3311A998" w:rsidR="001B35C3" w:rsidRPr="0042573E" w:rsidRDefault="007D0A6D" w:rsidP="00FF44F7">
      <w:pPr>
        <w:pStyle w:val="ListParagraph"/>
        <w:numPr>
          <w:ilvl w:val="0"/>
          <w:numId w:val="1"/>
        </w:numPr>
        <w:spacing w:after="0" w:line="240" w:lineRule="auto"/>
        <w:contextualSpacing w:val="0"/>
        <w:rPr>
          <w:sz w:val="20"/>
        </w:rPr>
      </w:pPr>
      <w:r w:rsidRPr="0042573E">
        <w:rPr>
          <w:sz w:val="20"/>
        </w:rPr>
        <w:t xml:space="preserve">Reduce regional achievement gaps across all the above measures through faster improvements among colleges located in regions with the lowest educational attainment of adults, with the </w:t>
      </w:r>
      <w:r w:rsidR="00913860" w:rsidRPr="0042573E">
        <w:rPr>
          <w:sz w:val="20"/>
        </w:rPr>
        <w:t>goal</w:t>
      </w:r>
      <w:r w:rsidRPr="0042573E">
        <w:rPr>
          <w:sz w:val="20"/>
        </w:rPr>
        <w:t xml:space="preserve"> of fully closing regional achievement gaps within 10 years</w:t>
      </w:r>
    </w:p>
    <w:p w14:paraId="048C9A45" w14:textId="2106F26E" w:rsidR="007D0A6D" w:rsidRDefault="007D0A6D" w:rsidP="00FF44F7">
      <w:pPr>
        <w:spacing w:after="0" w:line="240" w:lineRule="auto"/>
      </w:pPr>
    </w:p>
    <w:tbl>
      <w:tblPr>
        <w:tblStyle w:val="TableGrid"/>
        <w:tblW w:w="0" w:type="auto"/>
        <w:tblLook w:val="04A0" w:firstRow="1" w:lastRow="0" w:firstColumn="1" w:lastColumn="0" w:noHBand="0" w:noVBand="1"/>
      </w:tblPr>
      <w:tblGrid>
        <w:gridCol w:w="1345"/>
        <w:gridCol w:w="2970"/>
        <w:gridCol w:w="990"/>
        <w:gridCol w:w="2340"/>
        <w:gridCol w:w="1705"/>
      </w:tblGrid>
      <w:tr w:rsidR="00006709" w:rsidRPr="003138B6" w14:paraId="55D68D51" w14:textId="77777777" w:rsidTr="003138B6">
        <w:tc>
          <w:tcPr>
            <w:tcW w:w="1345" w:type="dxa"/>
            <w:shd w:val="clear" w:color="auto" w:fill="E7E6E6" w:themeFill="background2"/>
          </w:tcPr>
          <w:p w14:paraId="4A28A31F" w14:textId="0287BFC0" w:rsidR="00006709" w:rsidRPr="003138B6" w:rsidRDefault="00006709" w:rsidP="00FF44F7">
            <w:pPr>
              <w:rPr>
                <w:b/>
                <w:sz w:val="18"/>
                <w:szCs w:val="18"/>
              </w:rPr>
            </w:pPr>
            <w:r w:rsidRPr="003138B6">
              <w:rPr>
                <w:b/>
                <w:sz w:val="18"/>
                <w:szCs w:val="18"/>
              </w:rPr>
              <w:t xml:space="preserve">Goal </w:t>
            </w:r>
          </w:p>
        </w:tc>
        <w:tc>
          <w:tcPr>
            <w:tcW w:w="2970" w:type="dxa"/>
            <w:shd w:val="clear" w:color="auto" w:fill="E7E6E6" w:themeFill="background2"/>
          </w:tcPr>
          <w:p w14:paraId="68569DC5" w14:textId="1A22F549" w:rsidR="00006709" w:rsidRPr="003138B6" w:rsidRDefault="00006709" w:rsidP="00FF44F7">
            <w:pPr>
              <w:rPr>
                <w:b/>
                <w:sz w:val="18"/>
                <w:szCs w:val="18"/>
              </w:rPr>
            </w:pPr>
            <w:r w:rsidRPr="003138B6">
              <w:rPr>
                <w:b/>
                <w:sz w:val="18"/>
                <w:szCs w:val="18"/>
              </w:rPr>
              <w:t>Measure</w:t>
            </w:r>
          </w:p>
        </w:tc>
        <w:tc>
          <w:tcPr>
            <w:tcW w:w="990" w:type="dxa"/>
            <w:shd w:val="clear" w:color="auto" w:fill="E7E6E6" w:themeFill="background2"/>
          </w:tcPr>
          <w:p w14:paraId="5D2EA425" w14:textId="667E5D7C" w:rsidR="00006709" w:rsidRPr="003138B6" w:rsidRDefault="00006709" w:rsidP="00FF44F7">
            <w:pPr>
              <w:jc w:val="center"/>
              <w:rPr>
                <w:b/>
                <w:sz w:val="18"/>
                <w:szCs w:val="18"/>
              </w:rPr>
            </w:pPr>
            <w:r w:rsidRPr="003138B6">
              <w:rPr>
                <w:b/>
                <w:sz w:val="18"/>
                <w:szCs w:val="18"/>
              </w:rPr>
              <w:t>2016-17 Baseline</w:t>
            </w:r>
          </w:p>
        </w:tc>
        <w:tc>
          <w:tcPr>
            <w:tcW w:w="2340" w:type="dxa"/>
            <w:shd w:val="clear" w:color="auto" w:fill="E7E6E6" w:themeFill="background2"/>
          </w:tcPr>
          <w:p w14:paraId="5DEF76F1" w14:textId="3664C87B" w:rsidR="00006709" w:rsidRPr="003138B6" w:rsidRDefault="00006709" w:rsidP="00FF44F7">
            <w:pPr>
              <w:jc w:val="center"/>
              <w:rPr>
                <w:b/>
                <w:sz w:val="18"/>
                <w:szCs w:val="18"/>
              </w:rPr>
            </w:pPr>
            <w:r w:rsidRPr="003138B6">
              <w:rPr>
                <w:b/>
                <w:sz w:val="18"/>
                <w:szCs w:val="18"/>
              </w:rPr>
              <w:t>CCCCO Vision for Success Recommended Outcome</w:t>
            </w:r>
          </w:p>
        </w:tc>
        <w:tc>
          <w:tcPr>
            <w:tcW w:w="1705" w:type="dxa"/>
            <w:shd w:val="clear" w:color="auto" w:fill="E7E6E6" w:themeFill="background2"/>
          </w:tcPr>
          <w:p w14:paraId="46B2D65D" w14:textId="267D432A" w:rsidR="00006709" w:rsidRPr="003138B6" w:rsidRDefault="00006709" w:rsidP="00FF44F7">
            <w:pPr>
              <w:jc w:val="center"/>
              <w:rPr>
                <w:b/>
                <w:sz w:val="18"/>
                <w:szCs w:val="18"/>
              </w:rPr>
            </w:pPr>
            <w:r w:rsidRPr="003138B6">
              <w:rPr>
                <w:b/>
                <w:sz w:val="18"/>
                <w:szCs w:val="18"/>
              </w:rPr>
              <w:t>Coastline’s Goals by 2021-22</w:t>
            </w:r>
          </w:p>
        </w:tc>
      </w:tr>
      <w:tr w:rsidR="003138B6" w:rsidRPr="003138B6" w14:paraId="3FBB984D" w14:textId="77777777" w:rsidTr="003138B6">
        <w:tc>
          <w:tcPr>
            <w:tcW w:w="1345" w:type="dxa"/>
            <w:vMerge w:val="restart"/>
          </w:tcPr>
          <w:p w14:paraId="62EE9875" w14:textId="32B27B38" w:rsidR="003138B6" w:rsidRPr="003138B6" w:rsidRDefault="003138B6" w:rsidP="00FF44F7">
            <w:pPr>
              <w:rPr>
                <w:sz w:val="18"/>
                <w:szCs w:val="18"/>
              </w:rPr>
            </w:pPr>
            <w:r w:rsidRPr="003138B6">
              <w:rPr>
                <w:sz w:val="18"/>
                <w:szCs w:val="18"/>
              </w:rPr>
              <w:t>Goal 1: Completion</w:t>
            </w:r>
          </w:p>
        </w:tc>
        <w:tc>
          <w:tcPr>
            <w:tcW w:w="2970" w:type="dxa"/>
            <w:shd w:val="clear" w:color="auto" w:fill="DEEAF6" w:themeFill="accent5" w:themeFillTint="33"/>
          </w:tcPr>
          <w:p w14:paraId="765BB93F" w14:textId="56657735" w:rsidR="003138B6" w:rsidRPr="003138B6" w:rsidRDefault="003138B6" w:rsidP="00FF44F7">
            <w:pPr>
              <w:rPr>
                <w:sz w:val="18"/>
                <w:szCs w:val="18"/>
              </w:rPr>
            </w:pPr>
            <w:r w:rsidRPr="003138B6">
              <w:rPr>
                <w:sz w:val="18"/>
                <w:szCs w:val="18"/>
              </w:rPr>
              <w:t>Transfer-level math and English courses completed within the student’s first academic year of enrollment</w:t>
            </w:r>
          </w:p>
        </w:tc>
        <w:tc>
          <w:tcPr>
            <w:tcW w:w="990" w:type="dxa"/>
            <w:shd w:val="clear" w:color="auto" w:fill="DEEAF6" w:themeFill="accent5" w:themeFillTint="33"/>
            <w:vAlign w:val="center"/>
          </w:tcPr>
          <w:p w14:paraId="37DEAE42" w14:textId="6A94D7D6" w:rsidR="003138B6" w:rsidRPr="003138B6" w:rsidRDefault="003138B6" w:rsidP="00B52048">
            <w:pPr>
              <w:jc w:val="center"/>
              <w:rPr>
                <w:sz w:val="18"/>
                <w:szCs w:val="18"/>
              </w:rPr>
            </w:pPr>
            <w:r w:rsidRPr="003138B6">
              <w:rPr>
                <w:sz w:val="18"/>
                <w:szCs w:val="18"/>
              </w:rPr>
              <w:t>72</w:t>
            </w:r>
          </w:p>
        </w:tc>
        <w:tc>
          <w:tcPr>
            <w:tcW w:w="2340" w:type="dxa"/>
            <w:shd w:val="clear" w:color="auto" w:fill="DEEAF6" w:themeFill="accent5" w:themeFillTint="33"/>
            <w:vAlign w:val="center"/>
          </w:tcPr>
          <w:p w14:paraId="74CFE3EE" w14:textId="63172D47" w:rsidR="003138B6" w:rsidRPr="003138B6" w:rsidRDefault="003138B6" w:rsidP="00B52048">
            <w:pPr>
              <w:jc w:val="center"/>
              <w:rPr>
                <w:sz w:val="18"/>
                <w:szCs w:val="18"/>
              </w:rPr>
            </w:pPr>
            <w:r w:rsidRPr="003138B6">
              <w:rPr>
                <w:sz w:val="18"/>
                <w:szCs w:val="18"/>
              </w:rPr>
              <w:t>Increase 20%</w:t>
            </w:r>
          </w:p>
        </w:tc>
        <w:tc>
          <w:tcPr>
            <w:tcW w:w="1705" w:type="dxa"/>
            <w:shd w:val="clear" w:color="auto" w:fill="DEEAF6" w:themeFill="accent5" w:themeFillTint="33"/>
            <w:vAlign w:val="center"/>
          </w:tcPr>
          <w:p w14:paraId="66680603" w14:textId="0B30D55D" w:rsidR="003138B6" w:rsidRPr="003138B6" w:rsidRDefault="003138B6" w:rsidP="00B52048">
            <w:pPr>
              <w:jc w:val="center"/>
              <w:rPr>
                <w:sz w:val="18"/>
                <w:szCs w:val="18"/>
              </w:rPr>
            </w:pPr>
            <w:r w:rsidRPr="003138B6">
              <w:rPr>
                <w:sz w:val="18"/>
                <w:szCs w:val="18"/>
              </w:rPr>
              <w:t>86</w:t>
            </w:r>
          </w:p>
        </w:tc>
      </w:tr>
      <w:tr w:rsidR="003138B6" w:rsidRPr="003138B6" w14:paraId="40CA585E" w14:textId="77777777" w:rsidTr="003138B6">
        <w:tc>
          <w:tcPr>
            <w:tcW w:w="1345" w:type="dxa"/>
            <w:vMerge/>
          </w:tcPr>
          <w:p w14:paraId="63A84102" w14:textId="39E21E55" w:rsidR="003138B6" w:rsidRPr="003138B6" w:rsidRDefault="003138B6" w:rsidP="00FF44F7">
            <w:pPr>
              <w:rPr>
                <w:sz w:val="18"/>
                <w:szCs w:val="18"/>
              </w:rPr>
            </w:pPr>
          </w:p>
        </w:tc>
        <w:tc>
          <w:tcPr>
            <w:tcW w:w="2970" w:type="dxa"/>
          </w:tcPr>
          <w:p w14:paraId="22F84CF8" w14:textId="1406CB0C" w:rsidR="003138B6" w:rsidRPr="003138B6" w:rsidRDefault="003138B6" w:rsidP="00FF44F7">
            <w:pPr>
              <w:rPr>
                <w:sz w:val="18"/>
                <w:szCs w:val="18"/>
              </w:rPr>
            </w:pPr>
            <w:r w:rsidRPr="003138B6">
              <w:rPr>
                <w:sz w:val="18"/>
                <w:szCs w:val="18"/>
              </w:rPr>
              <w:t>Students earning an Associate Degree (Including ADTs)</w:t>
            </w:r>
          </w:p>
        </w:tc>
        <w:tc>
          <w:tcPr>
            <w:tcW w:w="990" w:type="dxa"/>
            <w:vAlign w:val="center"/>
          </w:tcPr>
          <w:p w14:paraId="21B0711F" w14:textId="5DE227BF" w:rsidR="003138B6" w:rsidRPr="003138B6" w:rsidRDefault="003138B6" w:rsidP="00B52048">
            <w:pPr>
              <w:jc w:val="center"/>
              <w:rPr>
                <w:sz w:val="18"/>
                <w:szCs w:val="18"/>
              </w:rPr>
            </w:pPr>
            <w:r w:rsidRPr="003138B6">
              <w:rPr>
                <w:sz w:val="18"/>
                <w:szCs w:val="18"/>
              </w:rPr>
              <w:t>1,286</w:t>
            </w:r>
          </w:p>
        </w:tc>
        <w:tc>
          <w:tcPr>
            <w:tcW w:w="2340" w:type="dxa"/>
            <w:vAlign w:val="center"/>
          </w:tcPr>
          <w:p w14:paraId="2AAD9931" w14:textId="7864BA52" w:rsidR="003138B6" w:rsidRPr="003138B6" w:rsidRDefault="003138B6" w:rsidP="00B52048">
            <w:pPr>
              <w:jc w:val="center"/>
              <w:rPr>
                <w:sz w:val="18"/>
                <w:szCs w:val="18"/>
              </w:rPr>
            </w:pPr>
            <w:r w:rsidRPr="003138B6">
              <w:rPr>
                <w:sz w:val="18"/>
                <w:szCs w:val="18"/>
              </w:rPr>
              <w:t>Increase 20%</w:t>
            </w:r>
          </w:p>
        </w:tc>
        <w:tc>
          <w:tcPr>
            <w:tcW w:w="1705" w:type="dxa"/>
            <w:vAlign w:val="center"/>
          </w:tcPr>
          <w:p w14:paraId="60DAB122" w14:textId="6670D8D2" w:rsidR="003138B6" w:rsidRPr="003138B6" w:rsidRDefault="003138B6" w:rsidP="00B52048">
            <w:pPr>
              <w:jc w:val="center"/>
              <w:rPr>
                <w:sz w:val="18"/>
                <w:szCs w:val="18"/>
              </w:rPr>
            </w:pPr>
            <w:r w:rsidRPr="003138B6">
              <w:rPr>
                <w:sz w:val="18"/>
                <w:szCs w:val="18"/>
              </w:rPr>
              <w:t>1,543</w:t>
            </w:r>
          </w:p>
        </w:tc>
      </w:tr>
      <w:tr w:rsidR="003138B6" w:rsidRPr="003138B6" w14:paraId="377D6AA4" w14:textId="77777777" w:rsidTr="003138B6">
        <w:tc>
          <w:tcPr>
            <w:tcW w:w="1345" w:type="dxa"/>
            <w:vMerge/>
          </w:tcPr>
          <w:p w14:paraId="123CDB11" w14:textId="77777777" w:rsidR="003138B6" w:rsidRPr="003138B6" w:rsidRDefault="003138B6" w:rsidP="00FF44F7">
            <w:pPr>
              <w:rPr>
                <w:sz w:val="18"/>
                <w:szCs w:val="18"/>
              </w:rPr>
            </w:pPr>
          </w:p>
        </w:tc>
        <w:tc>
          <w:tcPr>
            <w:tcW w:w="2970" w:type="dxa"/>
            <w:shd w:val="clear" w:color="auto" w:fill="DEEAF6" w:themeFill="accent5" w:themeFillTint="33"/>
          </w:tcPr>
          <w:p w14:paraId="43ACCA4E" w14:textId="49628F98" w:rsidR="003138B6" w:rsidRPr="003138B6" w:rsidRDefault="003138B6" w:rsidP="00FF44F7">
            <w:pPr>
              <w:rPr>
                <w:sz w:val="18"/>
                <w:szCs w:val="18"/>
              </w:rPr>
            </w:pPr>
            <w:r w:rsidRPr="003138B6">
              <w:rPr>
                <w:sz w:val="18"/>
                <w:szCs w:val="18"/>
              </w:rPr>
              <w:t>Students earning an Associate Degree</w:t>
            </w:r>
          </w:p>
        </w:tc>
        <w:tc>
          <w:tcPr>
            <w:tcW w:w="990" w:type="dxa"/>
            <w:shd w:val="clear" w:color="auto" w:fill="DEEAF6" w:themeFill="accent5" w:themeFillTint="33"/>
            <w:vAlign w:val="center"/>
          </w:tcPr>
          <w:p w14:paraId="56D9F5D7" w14:textId="652B94CE" w:rsidR="003138B6" w:rsidRPr="003138B6" w:rsidRDefault="003138B6" w:rsidP="00B52048">
            <w:pPr>
              <w:jc w:val="center"/>
              <w:rPr>
                <w:sz w:val="18"/>
                <w:szCs w:val="18"/>
              </w:rPr>
            </w:pPr>
            <w:r w:rsidRPr="003138B6">
              <w:rPr>
                <w:sz w:val="18"/>
                <w:szCs w:val="18"/>
              </w:rPr>
              <w:t>1,210</w:t>
            </w:r>
          </w:p>
        </w:tc>
        <w:tc>
          <w:tcPr>
            <w:tcW w:w="2340" w:type="dxa"/>
            <w:shd w:val="clear" w:color="auto" w:fill="DEEAF6" w:themeFill="accent5" w:themeFillTint="33"/>
            <w:vAlign w:val="center"/>
          </w:tcPr>
          <w:p w14:paraId="02B91B57" w14:textId="1F1A4206" w:rsidR="003138B6" w:rsidRPr="003138B6" w:rsidRDefault="003138B6" w:rsidP="00B52048">
            <w:pPr>
              <w:jc w:val="center"/>
              <w:rPr>
                <w:sz w:val="18"/>
                <w:szCs w:val="18"/>
              </w:rPr>
            </w:pPr>
            <w:r w:rsidRPr="003138B6">
              <w:rPr>
                <w:sz w:val="18"/>
                <w:szCs w:val="18"/>
              </w:rPr>
              <w:t>Increase 20%</w:t>
            </w:r>
          </w:p>
        </w:tc>
        <w:tc>
          <w:tcPr>
            <w:tcW w:w="1705" w:type="dxa"/>
            <w:shd w:val="clear" w:color="auto" w:fill="DEEAF6" w:themeFill="accent5" w:themeFillTint="33"/>
            <w:vAlign w:val="center"/>
          </w:tcPr>
          <w:p w14:paraId="125A911B" w14:textId="4D63A689" w:rsidR="003138B6" w:rsidRPr="003138B6" w:rsidRDefault="003138B6" w:rsidP="00B52048">
            <w:pPr>
              <w:jc w:val="center"/>
              <w:rPr>
                <w:sz w:val="18"/>
                <w:szCs w:val="18"/>
              </w:rPr>
            </w:pPr>
            <w:r w:rsidRPr="003138B6">
              <w:rPr>
                <w:sz w:val="18"/>
                <w:szCs w:val="18"/>
              </w:rPr>
              <w:t>1,452</w:t>
            </w:r>
          </w:p>
        </w:tc>
      </w:tr>
      <w:tr w:rsidR="003138B6" w:rsidRPr="003138B6" w14:paraId="6A81D567" w14:textId="77777777" w:rsidTr="003138B6">
        <w:tc>
          <w:tcPr>
            <w:tcW w:w="1345" w:type="dxa"/>
            <w:vMerge/>
          </w:tcPr>
          <w:p w14:paraId="58F5DFBA" w14:textId="77777777" w:rsidR="003138B6" w:rsidRPr="003138B6" w:rsidRDefault="003138B6" w:rsidP="00FF44F7">
            <w:pPr>
              <w:rPr>
                <w:sz w:val="18"/>
                <w:szCs w:val="18"/>
              </w:rPr>
            </w:pPr>
          </w:p>
        </w:tc>
        <w:tc>
          <w:tcPr>
            <w:tcW w:w="2970" w:type="dxa"/>
            <w:shd w:val="clear" w:color="auto" w:fill="DEEAF6" w:themeFill="accent5" w:themeFillTint="33"/>
          </w:tcPr>
          <w:p w14:paraId="0566DF35" w14:textId="4C457FAC" w:rsidR="003138B6" w:rsidRPr="003138B6" w:rsidRDefault="003138B6" w:rsidP="00FF44F7">
            <w:pPr>
              <w:rPr>
                <w:sz w:val="18"/>
                <w:szCs w:val="18"/>
              </w:rPr>
            </w:pPr>
            <w:r w:rsidRPr="003138B6">
              <w:rPr>
                <w:sz w:val="18"/>
                <w:szCs w:val="18"/>
              </w:rPr>
              <w:t>Students earning a State Approved Certificate</w:t>
            </w:r>
          </w:p>
        </w:tc>
        <w:tc>
          <w:tcPr>
            <w:tcW w:w="990" w:type="dxa"/>
            <w:shd w:val="clear" w:color="auto" w:fill="DEEAF6" w:themeFill="accent5" w:themeFillTint="33"/>
            <w:vAlign w:val="center"/>
          </w:tcPr>
          <w:p w14:paraId="568DABDA" w14:textId="6342CE0B" w:rsidR="003138B6" w:rsidRPr="003138B6" w:rsidRDefault="003138B6" w:rsidP="00B52048">
            <w:pPr>
              <w:jc w:val="center"/>
              <w:rPr>
                <w:sz w:val="18"/>
                <w:szCs w:val="18"/>
              </w:rPr>
            </w:pPr>
            <w:r w:rsidRPr="003138B6">
              <w:rPr>
                <w:sz w:val="18"/>
                <w:szCs w:val="18"/>
              </w:rPr>
              <w:t>431</w:t>
            </w:r>
          </w:p>
        </w:tc>
        <w:tc>
          <w:tcPr>
            <w:tcW w:w="2340" w:type="dxa"/>
            <w:shd w:val="clear" w:color="auto" w:fill="DEEAF6" w:themeFill="accent5" w:themeFillTint="33"/>
            <w:vAlign w:val="center"/>
          </w:tcPr>
          <w:p w14:paraId="14069B7F" w14:textId="5F3E89FB" w:rsidR="003138B6" w:rsidRPr="003138B6" w:rsidRDefault="003138B6" w:rsidP="00B52048">
            <w:pPr>
              <w:jc w:val="center"/>
              <w:rPr>
                <w:sz w:val="18"/>
                <w:szCs w:val="18"/>
              </w:rPr>
            </w:pPr>
            <w:r w:rsidRPr="003138B6">
              <w:rPr>
                <w:sz w:val="18"/>
                <w:szCs w:val="18"/>
              </w:rPr>
              <w:t>Increase 20%</w:t>
            </w:r>
          </w:p>
        </w:tc>
        <w:tc>
          <w:tcPr>
            <w:tcW w:w="1705" w:type="dxa"/>
            <w:shd w:val="clear" w:color="auto" w:fill="DEEAF6" w:themeFill="accent5" w:themeFillTint="33"/>
            <w:vAlign w:val="center"/>
          </w:tcPr>
          <w:p w14:paraId="5C880DAF" w14:textId="0C3FF62C" w:rsidR="003138B6" w:rsidRPr="003138B6" w:rsidRDefault="003138B6" w:rsidP="00B52048">
            <w:pPr>
              <w:jc w:val="center"/>
              <w:rPr>
                <w:sz w:val="18"/>
                <w:szCs w:val="18"/>
              </w:rPr>
            </w:pPr>
            <w:r w:rsidRPr="003138B6">
              <w:rPr>
                <w:sz w:val="18"/>
                <w:szCs w:val="18"/>
              </w:rPr>
              <w:t>517</w:t>
            </w:r>
          </w:p>
        </w:tc>
      </w:tr>
      <w:tr w:rsidR="003138B6" w:rsidRPr="003138B6" w14:paraId="6A680513" w14:textId="77777777" w:rsidTr="003138B6">
        <w:tc>
          <w:tcPr>
            <w:tcW w:w="1345" w:type="dxa"/>
            <w:vMerge/>
          </w:tcPr>
          <w:p w14:paraId="43F01B1C" w14:textId="77777777" w:rsidR="003138B6" w:rsidRPr="003138B6" w:rsidRDefault="003138B6" w:rsidP="00FF44F7">
            <w:pPr>
              <w:rPr>
                <w:sz w:val="18"/>
                <w:szCs w:val="18"/>
              </w:rPr>
            </w:pPr>
          </w:p>
        </w:tc>
        <w:tc>
          <w:tcPr>
            <w:tcW w:w="2970" w:type="dxa"/>
          </w:tcPr>
          <w:p w14:paraId="752C073E" w14:textId="6B94BBA8" w:rsidR="003138B6" w:rsidRPr="003138B6" w:rsidRDefault="003138B6" w:rsidP="00FF44F7">
            <w:pPr>
              <w:rPr>
                <w:sz w:val="18"/>
                <w:szCs w:val="18"/>
              </w:rPr>
            </w:pPr>
            <w:r w:rsidRPr="003138B6">
              <w:rPr>
                <w:sz w:val="18"/>
                <w:szCs w:val="18"/>
              </w:rPr>
              <w:t>Students who complete Vision Goal on Completion</w:t>
            </w:r>
          </w:p>
        </w:tc>
        <w:tc>
          <w:tcPr>
            <w:tcW w:w="990" w:type="dxa"/>
            <w:vAlign w:val="center"/>
          </w:tcPr>
          <w:p w14:paraId="351ECAF0" w14:textId="195C7DCE" w:rsidR="003138B6" w:rsidRPr="003138B6" w:rsidRDefault="003138B6" w:rsidP="00B52048">
            <w:pPr>
              <w:jc w:val="center"/>
              <w:rPr>
                <w:sz w:val="18"/>
                <w:szCs w:val="18"/>
              </w:rPr>
            </w:pPr>
            <w:r w:rsidRPr="003138B6">
              <w:rPr>
                <w:sz w:val="18"/>
                <w:szCs w:val="18"/>
              </w:rPr>
              <w:t>1,389</w:t>
            </w:r>
          </w:p>
        </w:tc>
        <w:tc>
          <w:tcPr>
            <w:tcW w:w="2340" w:type="dxa"/>
            <w:vAlign w:val="center"/>
          </w:tcPr>
          <w:p w14:paraId="795C24F0" w14:textId="5AF215B0" w:rsidR="003138B6" w:rsidRPr="003138B6" w:rsidRDefault="003138B6" w:rsidP="00B52048">
            <w:pPr>
              <w:jc w:val="center"/>
              <w:rPr>
                <w:sz w:val="18"/>
                <w:szCs w:val="18"/>
              </w:rPr>
            </w:pPr>
            <w:r w:rsidRPr="003138B6">
              <w:rPr>
                <w:sz w:val="18"/>
                <w:szCs w:val="18"/>
              </w:rPr>
              <w:t>Increase 20%</w:t>
            </w:r>
          </w:p>
        </w:tc>
        <w:tc>
          <w:tcPr>
            <w:tcW w:w="1705" w:type="dxa"/>
            <w:vAlign w:val="center"/>
          </w:tcPr>
          <w:p w14:paraId="5F01FD87" w14:textId="327DAFE0" w:rsidR="003138B6" w:rsidRPr="003138B6" w:rsidRDefault="003138B6" w:rsidP="00B52048">
            <w:pPr>
              <w:jc w:val="center"/>
              <w:rPr>
                <w:sz w:val="18"/>
                <w:szCs w:val="18"/>
              </w:rPr>
            </w:pPr>
            <w:r w:rsidRPr="003138B6">
              <w:rPr>
                <w:sz w:val="18"/>
                <w:szCs w:val="18"/>
              </w:rPr>
              <w:t>1,667</w:t>
            </w:r>
          </w:p>
        </w:tc>
      </w:tr>
      <w:tr w:rsidR="00B52048" w:rsidRPr="003138B6" w14:paraId="7E83734E" w14:textId="77777777" w:rsidTr="003138B6">
        <w:tc>
          <w:tcPr>
            <w:tcW w:w="1345" w:type="dxa"/>
            <w:vMerge w:val="restart"/>
          </w:tcPr>
          <w:p w14:paraId="38D6CFA0" w14:textId="0C268500" w:rsidR="00B52048" w:rsidRPr="003138B6" w:rsidRDefault="00B52048" w:rsidP="00FF44F7">
            <w:pPr>
              <w:rPr>
                <w:sz w:val="18"/>
                <w:szCs w:val="18"/>
              </w:rPr>
            </w:pPr>
            <w:r w:rsidRPr="003138B6">
              <w:rPr>
                <w:sz w:val="18"/>
                <w:szCs w:val="18"/>
              </w:rPr>
              <w:t>Goal 2: Transfer</w:t>
            </w:r>
          </w:p>
        </w:tc>
        <w:tc>
          <w:tcPr>
            <w:tcW w:w="2970" w:type="dxa"/>
          </w:tcPr>
          <w:p w14:paraId="576AF3FF" w14:textId="6D4CDD68" w:rsidR="00B52048" w:rsidRPr="003138B6" w:rsidRDefault="00B52048" w:rsidP="00FF44F7">
            <w:pPr>
              <w:rPr>
                <w:sz w:val="18"/>
                <w:szCs w:val="18"/>
              </w:rPr>
            </w:pPr>
            <w:r w:rsidRPr="003138B6">
              <w:rPr>
                <w:sz w:val="18"/>
                <w:szCs w:val="18"/>
              </w:rPr>
              <w:t>Students earning an Associate Degree for Transfer</w:t>
            </w:r>
          </w:p>
        </w:tc>
        <w:tc>
          <w:tcPr>
            <w:tcW w:w="990" w:type="dxa"/>
            <w:vAlign w:val="center"/>
          </w:tcPr>
          <w:p w14:paraId="3D1F5E38" w14:textId="7DC0A2E3" w:rsidR="00B52048" w:rsidRPr="003138B6" w:rsidRDefault="00B52048" w:rsidP="00B52048">
            <w:pPr>
              <w:jc w:val="center"/>
              <w:rPr>
                <w:sz w:val="18"/>
                <w:szCs w:val="18"/>
              </w:rPr>
            </w:pPr>
            <w:r w:rsidRPr="003138B6">
              <w:rPr>
                <w:sz w:val="18"/>
                <w:szCs w:val="18"/>
              </w:rPr>
              <w:t>76</w:t>
            </w:r>
          </w:p>
        </w:tc>
        <w:tc>
          <w:tcPr>
            <w:tcW w:w="2340" w:type="dxa"/>
            <w:vAlign w:val="center"/>
          </w:tcPr>
          <w:p w14:paraId="776E695A" w14:textId="07301D8F" w:rsidR="00B52048" w:rsidRPr="003138B6" w:rsidRDefault="00B52048" w:rsidP="00B52048">
            <w:pPr>
              <w:jc w:val="center"/>
              <w:rPr>
                <w:sz w:val="18"/>
                <w:szCs w:val="18"/>
              </w:rPr>
            </w:pPr>
            <w:r w:rsidRPr="003138B6">
              <w:rPr>
                <w:sz w:val="18"/>
                <w:szCs w:val="18"/>
              </w:rPr>
              <w:t>Increase 35%</w:t>
            </w:r>
          </w:p>
        </w:tc>
        <w:tc>
          <w:tcPr>
            <w:tcW w:w="1705" w:type="dxa"/>
            <w:vAlign w:val="center"/>
          </w:tcPr>
          <w:p w14:paraId="61CC87D2" w14:textId="1D984BA0" w:rsidR="00B52048" w:rsidRPr="003138B6" w:rsidRDefault="00B52048" w:rsidP="00B52048">
            <w:pPr>
              <w:jc w:val="center"/>
              <w:rPr>
                <w:sz w:val="18"/>
                <w:szCs w:val="18"/>
              </w:rPr>
            </w:pPr>
            <w:r w:rsidRPr="003138B6">
              <w:rPr>
                <w:sz w:val="18"/>
                <w:szCs w:val="18"/>
              </w:rPr>
              <w:t>103</w:t>
            </w:r>
          </w:p>
        </w:tc>
      </w:tr>
      <w:tr w:rsidR="0042573E" w:rsidRPr="003138B6" w14:paraId="6334B2DC" w14:textId="77777777" w:rsidTr="003138B6">
        <w:tc>
          <w:tcPr>
            <w:tcW w:w="1345" w:type="dxa"/>
            <w:vMerge/>
          </w:tcPr>
          <w:p w14:paraId="7C9D1753" w14:textId="77777777" w:rsidR="0042573E" w:rsidRPr="003138B6" w:rsidRDefault="0042573E" w:rsidP="00FF44F7">
            <w:pPr>
              <w:rPr>
                <w:sz w:val="18"/>
                <w:szCs w:val="18"/>
              </w:rPr>
            </w:pPr>
          </w:p>
        </w:tc>
        <w:tc>
          <w:tcPr>
            <w:tcW w:w="2970" w:type="dxa"/>
            <w:shd w:val="clear" w:color="auto" w:fill="DEEAF6" w:themeFill="accent5" w:themeFillTint="33"/>
          </w:tcPr>
          <w:p w14:paraId="3194C942" w14:textId="00C2BAFC" w:rsidR="0042573E" w:rsidRPr="003138B6" w:rsidRDefault="0042573E" w:rsidP="00FF44F7">
            <w:pPr>
              <w:rPr>
                <w:sz w:val="18"/>
                <w:szCs w:val="18"/>
              </w:rPr>
            </w:pPr>
            <w:r w:rsidRPr="003138B6">
              <w:rPr>
                <w:sz w:val="18"/>
                <w:szCs w:val="18"/>
              </w:rPr>
              <w:t>Transferred to the 4-year</w:t>
            </w:r>
          </w:p>
        </w:tc>
        <w:tc>
          <w:tcPr>
            <w:tcW w:w="990" w:type="dxa"/>
            <w:shd w:val="clear" w:color="auto" w:fill="DEEAF6" w:themeFill="accent5" w:themeFillTint="33"/>
            <w:vAlign w:val="center"/>
          </w:tcPr>
          <w:p w14:paraId="33F9B76D" w14:textId="1B90C4E0" w:rsidR="0042573E" w:rsidRPr="003138B6" w:rsidRDefault="0042573E" w:rsidP="00B52048">
            <w:pPr>
              <w:jc w:val="center"/>
              <w:rPr>
                <w:sz w:val="18"/>
                <w:szCs w:val="18"/>
              </w:rPr>
            </w:pPr>
            <w:r w:rsidRPr="003138B6">
              <w:rPr>
                <w:sz w:val="18"/>
                <w:szCs w:val="18"/>
              </w:rPr>
              <w:t>2,109</w:t>
            </w:r>
          </w:p>
        </w:tc>
        <w:tc>
          <w:tcPr>
            <w:tcW w:w="2340" w:type="dxa"/>
            <w:shd w:val="clear" w:color="auto" w:fill="DEEAF6" w:themeFill="accent5" w:themeFillTint="33"/>
            <w:vAlign w:val="center"/>
          </w:tcPr>
          <w:p w14:paraId="0DFEB142" w14:textId="042A36FE" w:rsidR="0042573E" w:rsidRPr="003138B6" w:rsidRDefault="0042573E" w:rsidP="00B52048">
            <w:pPr>
              <w:jc w:val="center"/>
              <w:rPr>
                <w:sz w:val="18"/>
                <w:szCs w:val="18"/>
              </w:rPr>
            </w:pPr>
            <w:r w:rsidRPr="003138B6">
              <w:rPr>
                <w:sz w:val="18"/>
                <w:szCs w:val="18"/>
              </w:rPr>
              <w:t>Increase 35%</w:t>
            </w:r>
          </w:p>
        </w:tc>
        <w:tc>
          <w:tcPr>
            <w:tcW w:w="1705" w:type="dxa"/>
            <w:shd w:val="clear" w:color="auto" w:fill="DEEAF6" w:themeFill="accent5" w:themeFillTint="33"/>
            <w:vAlign w:val="center"/>
          </w:tcPr>
          <w:p w14:paraId="7EE2F096" w14:textId="628C7262" w:rsidR="0042573E" w:rsidRPr="003138B6" w:rsidRDefault="0042573E" w:rsidP="00B52048">
            <w:pPr>
              <w:jc w:val="center"/>
              <w:rPr>
                <w:sz w:val="18"/>
                <w:szCs w:val="18"/>
              </w:rPr>
            </w:pPr>
            <w:r w:rsidRPr="003138B6">
              <w:rPr>
                <w:sz w:val="18"/>
                <w:szCs w:val="18"/>
              </w:rPr>
              <w:t>2,847</w:t>
            </w:r>
          </w:p>
        </w:tc>
      </w:tr>
      <w:tr w:rsidR="00B52048" w:rsidRPr="003138B6" w14:paraId="59891512" w14:textId="77777777" w:rsidTr="003138B6">
        <w:tc>
          <w:tcPr>
            <w:tcW w:w="1345" w:type="dxa"/>
            <w:vMerge/>
          </w:tcPr>
          <w:p w14:paraId="347CAD3A" w14:textId="77777777" w:rsidR="00B52048" w:rsidRPr="003138B6" w:rsidRDefault="00B52048" w:rsidP="00FF44F7">
            <w:pPr>
              <w:rPr>
                <w:sz w:val="18"/>
                <w:szCs w:val="18"/>
              </w:rPr>
            </w:pPr>
          </w:p>
        </w:tc>
        <w:tc>
          <w:tcPr>
            <w:tcW w:w="2970" w:type="dxa"/>
          </w:tcPr>
          <w:p w14:paraId="2E0E69D5" w14:textId="18645AA9" w:rsidR="00B52048" w:rsidRPr="003138B6" w:rsidRDefault="00B52048" w:rsidP="00FF44F7">
            <w:pPr>
              <w:rPr>
                <w:sz w:val="18"/>
                <w:szCs w:val="18"/>
              </w:rPr>
            </w:pPr>
            <w:r w:rsidRPr="003138B6">
              <w:rPr>
                <w:sz w:val="18"/>
                <w:szCs w:val="18"/>
              </w:rPr>
              <w:t>Transferred to UC or CSU</w:t>
            </w:r>
          </w:p>
        </w:tc>
        <w:tc>
          <w:tcPr>
            <w:tcW w:w="990" w:type="dxa"/>
            <w:vAlign w:val="center"/>
          </w:tcPr>
          <w:p w14:paraId="79FEC919" w14:textId="7F3E698E" w:rsidR="00B52048" w:rsidRPr="003138B6" w:rsidRDefault="00B52048" w:rsidP="00B52048">
            <w:pPr>
              <w:jc w:val="center"/>
              <w:rPr>
                <w:sz w:val="18"/>
                <w:szCs w:val="18"/>
              </w:rPr>
            </w:pPr>
            <w:r w:rsidRPr="003138B6">
              <w:rPr>
                <w:sz w:val="18"/>
                <w:szCs w:val="18"/>
              </w:rPr>
              <w:t>930</w:t>
            </w:r>
          </w:p>
        </w:tc>
        <w:tc>
          <w:tcPr>
            <w:tcW w:w="2340" w:type="dxa"/>
            <w:vAlign w:val="center"/>
          </w:tcPr>
          <w:p w14:paraId="3E75B12E" w14:textId="1316E8AF" w:rsidR="00B52048" w:rsidRPr="003138B6" w:rsidRDefault="00B52048" w:rsidP="00B52048">
            <w:pPr>
              <w:jc w:val="center"/>
              <w:rPr>
                <w:sz w:val="18"/>
                <w:szCs w:val="18"/>
              </w:rPr>
            </w:pPr>
            <w:r w:rsidRPr="003138B6">
              <w:rPr>
                <w:sz w:val="18"/>
                <w:szCs w:val="18"/>
              </w:rPr>
              <w:t>Increase 35%</w:t>
            </w:r>
          </w:p>
        </w:tc>
        <w:tc>
          <w:tcPr>
            <w:tcW w:w="1705" w:type="dxa"/>
            <w:vAlign w:val="center"/>
          </w:tcPr>
          <w:p w14:paraId="441AF72B" w14:textId="037D7BE6" w:rsidR="00B52048" w:rsidRPr="003138B6" w:rsidRDefault="00B52048" w:rsidP="00B52048">
            <w:pPr>
              <w:jc w:val="center"/>
              <w:rPr>
                <w:sz w:val="18"/>
                <w:szCs w:val="18"/>
              </w:rPr>
            </w:pPr>
            <w:r w:rsidRPr="003138B6">
              <w:rPr>
                <w:sz w:val="18"/>
                <w:szCs w:val="18"/>
              </w:rPr>
              <w:t>1,256</w:t>
            </w:r>
          </w:p>
        </w:tc>
      </w:tr>
      <w:tr w:rsidR="00B52048" w:rsidRPr="003138B6" w14:paraId="47313476" w14:textId="77777777" w:rsidTr="003138B6">
        <w:tc>
          <w:tcPr>
            <w:tcW w:w="1345" w:type="dxa"/>
            <w:vMerge w:val="restart"/>
          </w:tcPr>
          <w:p w14:paraId="7827CFC1" w14:textId="0A545EB8" w:rsidR="00B52048" w:rsidRPr="003138B6" w:rsidRDefault="00B52048" w:rsidP="00006709">
            <w:pPr>
              <w:rPr>
                <w:sz w:val="18"/>
                <w:szCs w:val="18"/>
              </w:rPr>
            </w:pPr>
            <w:r w:rsidRPr="003138B6">
              <w:rPr>
                <w:sz w:val="18"/>
                <w:szCs w:val="18"/>
              </w:rPr>
              <w:t>Goal 3: Unit Accumulation</w:t>
            </w:r>
          </w:p>
        </w:tc>
        <w:tc>
          <w:tcPr>
            <w:tcW w:w="2970" w:type="dxa"/>
          </w:tcPr>
          <w:p w14:paraId="2A5A19EC" w14:textId="02DCEC3C" w:rsidR="00B52048" w:rsidRPr="003138B6" w:rsidRDefault="00D1286E" w:rsidP="00006709">
            <w:pPr>
              <w:rPr>
                <w:sz w:val="18"/>
                <w:szCs w:val="18"/>
              </w:rPr>
            </w:pPr>
            <w:r w:rsidRPr="003138B6">
              <w:rPr>
                <w:noProof/>
                <w:sz w:val="18"/>
                <w:szCs w:val="18"/>
              </w:rPr>
              <w:t>The a</w:t>
            </w:r>
            <w:r w:rsidR="00B52048" w:rsidRPr="003138B6">
              <w:rPr>
                <w:noProof/>
                <w:sz w:val="18"/>
                <w:szCs w:val="18"/>
              </w:rPr>
              <w:t>verage</w:t>
            </w:r>
            <w:r w:rsidR="00B52048" w:rsidRPr="003138B6">
              <w:rPr>
                <w:sz w:val="18"/>
                <w:szCs w:val="18"/>
              </w:rPr>
              <w:t xml:space="preserve"> amount of Units Completed</w:t>
            </w:r>
          </w:p>
        </w:tc>
        <w:tc>
          <w:tcPr>
            <w:tcW w:w="990" w:type="dxa"/>
            <w:vAlign w:val="center"/>
          </w:tcPr>
          <w:p w14:paraId="5DA1417C" w14:textId="1EF381C7" w:rsidR="00B52048" w:rsidRPr="003138B6" w:rsidRDefault="00B52048" w:rsidP="00B52048">
            <w:pPr>
              <w:jc w:val="center"/>
              <w:rPr>
                <w:sz w:val="18"/>
                <w:szCs w:val="18"/>
              </w:rPr>
            </w:pPr>
            <w:r w:rsidRPr="003138B6">
              <w:rPr>
                <w:sz w:val="18"/>
                <w:szCs w:val="18"/>
              </w:rPr>
              <w:t>91</w:t>
            </w:r>
          </w:p>
        </w:tc>
        <w:tc>
          <w:tcPr>
            <w:tcW w:w="2340" w:type="dxa"/>
            <w:vAlign w:val="center"/>
          </w:tcPr>
          <w:p w14:paraId="0E5A0838" w14:textId="2D92D9E1" w:rsidR="00B52048" w:rsidRPr="003138B6" w:rsidRDefault="00B52048" w:rsidP="00B52048">
            <w:pPr>
              <w:jc w:val="center"/>
              <w:rPr>
                <w:sz w:val="18"/>
                <w:szCs w:val="18"/>
              </w:rPr>
            </w:pPr>
            <w:r w:rsidRPr="003138B6">
              <w:rPr>
                <w:sz w:val="18"/>
                <w:szCs w:val="18"/>
              </w:rPr>
              <w:t>Decrease to 79</w:t>
            </w:r>
          </w:p>
        </w:tc>
        <w:tc>
          <w:tcPr>
            <w:tcW w:w="1705" w:type="dxa"/>
            <w:vAlign w:val="center"/>
          </w:tcPr>
          <w:p w14:paraId="2EF9FB7A" w14:textId="75BD5365" w:rsidR="00B52048" w:rsidRPr="003138B6" w:rsidRDefault="00B52048" w:rsidP="00B52048">
            <w:pPr>
              <w:jc w:val="center"/>
              <w:rPr>
                <w:sz w:val="18"/>
                <w:szCs w:val="18"/>
              </w:rPr>
            </w:pPr>
            <w:r w:rsidRPr="003138B6">
              <w:rPr>
                <w:sz w:val="18"/>
                <w:szCs w:val="18"/>
              </w:rPr>
              <w:t>79</w:t>
            </w:r>
          </w:p>
        </w:tc>
      </w:tr>
      <w:tr w:rsidR="00B52048" w:rsidRPr="003138B6" w14:paraId="0EFCC5E4" w14:textId="77777777" w:rsidTr="003138B6">
        <w:tc>
          <w:tcPr>
            <w:tcW w:w="1345" w:type="dxa"/>
            <w:vMerge/>
          </w:tcPr>
          <w:p w14:paraId="51D75D47" w14:textId="77777777" w:rsidR="00B52048" w:rsidRPr="003138B6" w:rsidRDefault="00B52048" w:rsidP="00006709">
            <w:pPr>
              <w:rPr>
                <w:sz w:val="18"/>
                <w:szCs w:val="18"/>
              </w:rPr>
            </w:pPr>
          </w:p>
        </w:tc>
        <w:tc>
          <w:tcPr>
            <w:tcW w:w="2970" w:type="dxa"/>
            <w:shd w:val="clear" w:color="auto" w:fill="DEEAF6" w:themeFill="accent5" w:themeFillTint="33"/>
          </w:tcPr>
          <w:p w14:paraId="4E224C7A" w14:textId="1ECEEB87" w:rsidR="00B52048" w:rsidRPr="003138B6" w:rsidRDefault="00B52048" w:rsidP="00006709">
            <w:pPr>
              <w:rPr>
                <w:sz w:val="18"/>
                <w:szCs w:val="18"/>
              </w:rPr>
            </w:pPr>
            <w:r w:rsidRPr="003138B6">
              <w:rPr>
                <w:sz w:val="18"/>
                <w:szCs w:val="18"/>
              </w:rPr>
              <w:t>9 or More CTE unite Earned</w:t>
            </w:r>
          </w:p>
        </w:tc>
        <w:tc>
          <w:tcPr>
            <w:tcW w:w="990" w:type="dxa"/>
            <w:shd w:val="clear" w:color="auto" w:fill="DEEAF6" w:themeFill="accent5" w:themeFillTint="33"/>
            <w:vAlign w:val="center"/>
          </w:tcPr>
          <w:p w14:paraId="14DCBC70" w14:textId="45B62407" w:rsidR="00B52048" w:rsidRPr="003138B6" w:rsidRDefault="00B52048" w:rsidP="00B52048">
            <w:pPr>
              <w:jc w:val="center"/>
              <w:rPr>
                <w:sz w:val="18"/>
                <w:szCs w:val="18"/>
              </w:rPr>
            </w:pPr>
            <w:r w:rsidRPr="003138B6">
              <w:rPr>
                <w:sz w:val="18"/>
                <w:szCs w:val="18"/>
              </w:rPr>
              <w:t>1,085</w:t>
            </w:r>
          </w:p>
        </w:tc>
        <w:tc>
          <w:tcPr>
            <w:tcW w:w="2340" w:type="dxa"/>
            <w:shd w:val="clear" w:color="auto" w:fill="DEEAF6" w:themeFill="accent5" w:themeFillTint="33"/>
            <w:vAlign w:val="center"/>
          </w:tcPr>
          <w:p w14:paraId="7335DF8A" w14:textId="42A687FD" w:rsidR="00B52048" w:rsidRPr="003138B6" w:rsidRDefault="00B52048" w:rsidP="00B52048">
            <w:pPr>
              <w:jc w:val="center"/>
              <w:rPr>
                <w:sz w:val="18"/>
                <w:szCs w:val="18"/>
              </w:rPr>
            </w:pPr>
            <w:r w:rsidRPr="003138B6">
              <w:rPr>
                <w:sz w:val="18"/>
                <w:szCs w:val="18"/>
              </w:rPr>
              <w:t>Increase 20%</w:t>
            </w:r>
          </w:p>
        </w:tc>
        <w:tc>
          <w:tcPr>
            <w:tcW w:w="1705" w:type="dxa"/>
            <w:shd w:val="clear" w:color="auto" w:fill="DEEAF6" w:themeFill="accent5" w:themeFillTint="33"/>
            <w:vAlign w:val="center"/>
          </w:tcPr>
          <w:p w14:paraId="74CD9C94" w14:textId="5343D66E" w:rsidR="00B52048" w:rsidRPr="003138B6" w:rsidRDefault="00B52048" w:rsidP="00B52048">
            <w:pPr>
              <w:jc w:val="center"/>
              <w:rPr>
                <w:sz w:val="18"/>
                <w:szCs w:val="18"/>
              </w:rPr>
            </w:pPr>
            <w:r w:rsidRPr="003138B6">
              <w:rPr>
                <w:sz w:val="18"/>
                <w:szCs w:val="18"/>
              </w:rPr>
              <w:t>1,302</w:t>
            </w:r>
          </w:p>
        </w:tc>
      </w:tr>
      <w:tr w:rsidR="00006709" w:rsidRPr="003138B6" w14:paraId="792738F9" w14:textId="77777777" w:rsidTr="003138B6">
        <w:tc>
          <w:tcPr>
            <w:tcW w:w="1345" w:type="dxa"/>
            <w:vMerge w:val="restart"/>
          </w:tcPr>
          <w:p w14:paraId="644E71DA" w14:textId="0BD32BFF" w:rsidR="00006709" w:rsidRPr="003138B6" w:rsidRDefault="00006709" w:rsidP="00006709">
            <w:pPr>
              <w:rPr>
                <w:sz w:val="18"/>
                <w:szCs w:val="18"/>
              </w:rPr>
            </w:pPr>
            <w:r w:rsidRPr="003138B6">
              <w:rPr>
                <w:sz w:val="18"/>
                <w:szCs w:val="18"/>
              </w:rPr>
              <w:t>Goal 4: Workforce</w:t>
            </w:r>
          </w:p>
        </w:tc>
        <w:tc>
          <w:tcPr>
            <w:tcW w:w="2970" w:type="dxa"/>
          </w:tcPr>
          <w:p w14:paraId="3072B21B" w14:textId="508A7F95" w:rsidR="00006709" w:rsidRPr="003138B6" w:rsidRDefault="00006709" w:rsidP="00006709">
            <w:pPr>
              <w:rPr>
                <w:sz w:val="18"/>
                <w:szCs w:val="18"/>
              </w:rPr>
            </w:pPr>
            <w:r w:rsidRPr="003138B6">
              <w:rPr>
                <w:sz w:val="18"/>
                <w:szCs w:val="18"/>
              </w:rPr>
              <w:t>Median Annual Earning of All Students</w:t>
            </w:r>
          </w:p>
        </w:tc>
        <w:tc>
          <w:tcPr>
            <w:tcW w:w="990" w:type="dxa"/>
            <w:vAlign w:val="center"/>
          </w:tcPr>
          <w:p w14:paraId="3B277D97" w14:textId="4145E192" w:rsidR="00006709" w:rsidRPr="003138B6" w:rsidRDefault="00B52048" w:rsidP="00B52048">
            <w:pPr>
              <w:jc w:val="center"/>
              <w:rPr>
                <w:sz w:val="18"/>
                <w:szCs w:val="18"/>
              </w:rPr>
            </w:pPr>
            <w:r w:rsidRPr="003138B6">
              <w:rPr>
                <w:sz w:val="18"/>
                <w:szCs w:val="18"/>
              </w:rPr>
              <w:t>49%</w:t>
            </w:r>
          </w:p>
        </w:tc>
        <w:tc>
          <w:tcPr>
            <w:tcW w:w="2340" w:type="dxa"/>
            <w:vAlign w:val="center"/>
          </w:tcPr>
          <w:p w14:paraId="7509E424" w14:textId="031BB6EE" w:rsidR="00006709" w:rsidRPr="003138B6" w:rsidRDefault="00006709" w:rsidP="00B52048">
            <w:pPr>
              <w:jc w:val="center"/>
              <w:rPr>
                <w:sz w:val="18"/>
                <w:szCs w:val="18"/>
              </w:rPr>
            </w:pPr>
            <w:r w:rsidRPr="003138B6">
              <w:rPr>
                <w:sz w:val="18"/>
                <w:szCs w:val="18"/>
              </w:rPr>
              <w:t>Increase to 69%</w:t>
            </w:r>
          </w:p>
        </w:tc>
        <w:tc>
          <w:tcPr>
            <w:tcW w:w="1705" w:type="dxa"/>
            <w:vAlign w:val="center"/>
          </w:tcPr>
          <w:p w14:paraId="17823490" w14:textId="746C78C8" w:rsidR="00006709" w:rsidRPr="003138B6" w:rsidRDefault="00B52048" w:rsidP="00B52048">
            <w:pPr>
              <w:jc w:val="center"/>
              <w:rPr>
                <w:sz w:val="18"/>
                <w:szCs w:val="18"/>
              </w:rPr>
            </w:pPr>
            <w:r w:rsidRPr="003138B6">
              <w:rPr>
                <w:sz w:val="18"/>
                <w:szCs w:val="18"/>
              </w:rPr>
              <w:t>69%</w:t>
            </w:r>
          </w:p>
        </w:tc>
      </w:tr>
      <w:tr w:rsidR="00006709" w:rsidRPr="003138B6" w14:paraId="45492C6D" w14:textId="77777777" w:rsidTr="003138B6">
        <w:tc>
          <w:tcPr>
            <w:tcW w:w="1345" w:type="dxa"/>
            <w:vMerge/>
          </w:tcPr>
          <w:p w14:paraId="55296337" w14:textId="77777777" w:rsidR="00006709" w:rsidRPr="003138B6" w:rsidRDefault="00006709" w:rsidP="00006709">
            <w:pPr>
              <w:rPr>
                <w:sz w:val="18"/>
                <w:szCs w:val="18"/>
              </w:rPr>
            </w:pPr>
          </w:p>
        </w:tc>
        <w:tc>
          <w:tcPr>
            <w:tcW w:w="2970" w:type="dxa"/>
            <w:shd w:val="clear" w:color="auto" w:fill="DEEAF6" w:themeFill="accent5" w:themeFillTint="33"/>
          </w:tcPr>
          <w:p w14:paraId="2FD025D3" w14:textId="6C4D608D" w:rsidR="00006709" w:rsidRPr="003138B6" w:rsidRDefault="00006709" w:rsidP="00006709">
            <w:pPr>
              <w:rPr>
                <w:sz w:val="18"/>
                <w:szCs w:val="18"/>
              </w:rPr>
            </w:pPr>
            <w:r w:rsidRPr="003138B6">
              <w:rPr>
                <w:sz w:val="18"/>
                <w:szCs w:val="18"/>
              </w:rPr>
              <w:t>All Students Who Attain a Living Wage</w:t>
            </w:r>
          </w:p>
        </w:tc>
        <w:tc>
          <w:tcPr>
            <w:tcW w:w="990" w:type="dxa"/>
            <w:shd w:val="clear" w:color="auto" w:fill="DEEAF6" w:themeFill="accent5" w:themeFillTint="33"/>
            <w:vAlign w:val="center"/>
          </w:tcPr>
          <w:p w14:paraId="5F47D842" w14:textId="63EAE6D1" w:rsidR="00006709" w:rsidRPr="003138B6" w:rsidRDefault="00006709" w:rsidP="00B52048">
            <w:pPr>
              <w:jc w:val="center"/>
              <w:rPr>
                <w:sz w:val="18"/>
                <w:szCs w:val="18"/>
              </w:rPr>
            </w:pPr>
          </w:p>
        </w:tc>
        <w:tc>
          <w:tcPr>
            <w:tcW w:w="2340" w:type="dxa"/>
            <w:shd w:val="clear" w:color="auto" w:fill="DEEAF6" w:themeFill="accent5" w:themeFillTint="33"/>
            <w:vAlign w:val="center"/>
          </w:tcPr>
          <w:p w14:paraId="62403630" w14:textId="59456A7A" w:rsidR="00006709" w:rsidRPr="003138B6" w:rsidRDefault="00006709" w:rsidP="00B52048">
            <w:pPr>
              <w:jc w:val="center"/>
              <w:rPr>
                <w:sz w:val="18"/>
                <w:szCs w:val="18"/>
              </w:rPr>
            </w:pPr>
            <w:r w:rsidRPr="003138B6">
              <w:rPr>
                <w:sz w:val="18"/>
                <w:szCs w:val="18"/>
              </w:rPr>
              <w:t>Increase to 69%</w:t>
            </w:r>
          </w:p>
        </w:tc>
        <w:tc>
          <w:tcPr>
            <w:tcW w:w="1705" w:type="dxa"/>
            <w:shd w:val="clear" w:color="auto" w:fill="DEEAF6" w:themeFill="accent5" w:themeFillTint="33"/>
            <w:vAlign w:val="center"/>
          </w:tcPr>
          <w:p w14:paraId="546BC3F3" w14:textId="77777777" w:rsidR="00006709" w:rsidRPr="003138B6" w:rsidRDefault="00006709" w:rsidP="00B52048">
            <w:pPr>
              <w:jc w:val="center"/>
              <w:rPr>
                <w:sz w:val="18"/>
                <w:szCs w:val="18"/>
              </w:rPr>
            </w:pPr>
          </w:p>
        </w:tc>
      </w:tr>
      <w:tr w:rsidR="00006709" w:rsidRPr="003138B6" w14:paraId="5F685211" w14:textId="77777777" w:rsidTr="003138B6">
        <w:tc>
          <w:tcPr>
            <w:tcW w:w="1345" w:type="dxa"/>
            <w:vMerge/>
          </w:tcPr>
          <w:p w14:paraId="263FE029" w14:textId="77777777" w:rsidR="00006709" w:rsidRPr="003138B6" w:rsidRDefault="00006709" w:rsidP="00006709">
            <w:pPr>
              <w:rPr>
                <w:sz w:val="18"/>
                <w:szCs w:val="18"/>
              </w:rPr>
            </w:pPr>
          </w:p>
        </w:tc>
        <w:tc>
          <w:tcPr>
            <w:tcW w:w="2970" w:type="dxa"/>
          </w:tcPr>
          <w:p w14:paraId="7B8750F2" w14:textId="6F7DF0DD" w:rsidR="00006709" w:rsidRPr="003138B6" w:rsidRDefault="00006709" w:rsidP="00006709">
            <w:pPr>
              <w:rPr>
                <w:sz w:val="18"/>
                <w:szCs w:val="18"/>
              </w:rPr>
            </w:pPr>
            <w:r w:rsidRPr="003138B6">
              <w:rPr>
                <w:sz w:val="18"/>
                <w:szCs w:val="18"/>
              </w:rPr>
              <w:t>Employed in their Field of Study</w:t>
            </w:r>
          </w:p>
        </w:tc>
        <w:tc>
          <w:tcPr>
            <w:tcW w:w="990" w:type="dxa"/>
            <w:vAlign w:val="center"/>
          </w:tcPr>
          <w:p w14:paraId="11393BC5" w14:textId="0740414B" w:rsidR="00006709" w:rsidRPr="003138B6" w:rsidRDefault="00006709" w:rsidP="00B52048">
            <w:pPr>
              <w:jc w:val="center"/>
              <w:rPr>
                <w:sz w:val="18"/>
                <w:szCs w:val="18"/>
              </w:rPr>
            </w:pPr>
            <w:r w:rsidRPr="003138B6">
              <w:rPr>
                <w:sz w:val="18"/>
                <w:szCs w:val="18"/>
              </w:rPr>
              <w:t>70%</w:t>
            </w:r>
          </w:p>
        </w:tc>
        <w:tc>
          <w:tcPr>
            <w:tcW w:w="2340" w:type="dxa"/>
            <w:vAlign w:val="center"/>
          </w:tcPr>
          <w:p w14:paraId="5BB69EC0" w14:textId="03DCC2CB" w:rsidR="00006709" w:rsidRPr="003138B6" w:rsidRDefault="00006709" w:rsidP="00B52048">
            <w:pPr>
              <w:jc w:val="center"/>
              <w:rPr>
                <w:sz w:val="18"/>
                <w:szCs w:val="18"/>
              </w:rPr>
            </w:pPr>
            <w:r w:rsidRPr="003138B6">
              <w:rPr>
                <w:sz w:val="18"/>
                <w:szCs w:val="18"/>
              </w:rPr>
              <w:t>Increase to 69%</w:t>
            </w:r>
          </w:p>
        </w:tc>
        <w:tc>
          <w:tcPr>
            <w:tcW w:w="1705" w:type="dxa"/>
            <w:vAlign w:val="center"/>
          </w:tcPr>
          <w:p w14:paraId="07F50FB5" w14:textId="4BF7C472" w:rsidR="00006709" w:rsidRPr="003138B6" w:rsidRDefault="00006709" w:rsidP="00B52048">
            <w:pPr>
              <w:jc w:val="center"/>
              <w:rPr>
                <w:sz w:val="18"/>
                <w:szCs w:val="18"/>
              </w:rPr>
            </w:pPr>
            <w:r w:rsidRPr="003138B6">
              <w:rPr>
                <w:sz w:val="18"/>
                <w:szCs w:val="18"/>
              </w:rPr>
              <w:t>75%</w:t>
            </w:r>
          </w:p>
        </w:tc>
      </w:tr>
      <w:tr w:rsidR="00006709" w:rsidRPr="003138B6" w14:paraId="591BEAB2" w14:textId="77777777" w:rsidTr="003138B6">
        <w:tc>
          <w:tcPr>
            <w:tcW w:w="1345" w:type="dxa"/>
          </w:tcPr>
          <w:p w14:paraId="7B250506" w14:textId="3162E0AB" w:rsidR="00006709" w:rsidRPr="003138B6" w:rsidRDefault="00006709" w:rsidP="00FF44F7">
            <w:pPr>
              <w:rPr>
                <w:sz w:val="18"/>
                <w:szCs w:val="18"/>
              </w:rPr>
            </w:pPr>
            <w:r w:rsidRPr="003138B6">
              <w:rPr>
                <w:sz w:val="18"/>
                <w:szCs w:val="18"/>
              </w:rPr>
              <w:t>Goal 5: Equity</w:t>
            </w:r>
          </w:p>
        </w:tc>
        <w:tc>
          <w:tcPr>
            <w:tcW w:w="2970" w:type="dxa"/>
          </w:tcPr>
          <w:p w14:paraId="1CE90902" w14:textId="22A3A606" w:rsidR="00006709" w:rsidRPr="003138B6" w:rsidRDefault="00006709" w:rsidP="00FF44F7">
            <w:pPr>
              <w:rPr>
                <w:sz w:val="18"/>
                <w:szCs w:val="18"/>
              </w:rPr>
            </w:pPr>
            <w:r w:rsidRPr="003138B6">
              <w:rPr>
                <w:sz w:val="18"/>
                <w:szCs w:val="18"/>
              </w:rPr>
              <w:t>Number of Equity Gaps</w:t>
            </w:r>
          </w:p>
        </w:tc>
        <w:tc>
          <w:tcPr>
            <w:tcW w:w="990" w:type="dxa"/>
            <w:vAlign w:val="center"/>
          </w:tcPr>
          <w:p w14:paraId="2B10C978" w14:textId="213FCB1E" w:rsidR="00006709" w:rsidRPr="003138B6" w:rsidRDefault="00006709" w:rsidP="00B52048">
            <w:pPr>
              <w:jc w:val="center"/>
              <w:rPr>
                <w:sz w:val="18"/>
                <w:szCs w:val="18"/>
              </w:rPr>
            </w:pPr>
          </w:p>
        </w:tc>
        <w:tc>
          <w:tcPr>
            <w:tcW w:w="2340" w:type="dxa"/>
            <w:vAlign w:val="center"/>
          </w:tcPr>
          <w:p w14:paraId="330B5C82" w14:textId="0B5F32E5" w:rsidR="00006709" w:rsidRPr="003138B6" w:rsidRDefault="00006709" w:rsidP="00B52048">
            <w:pPr>
              <w:jc w:val="center"/>
              <w:rPr>
                <w:sz w:val="18"/>
                <w:szCs w:val="18"/>
              </w:rPr>
            </w:pPr>
            <w:r w:rsidRPr="003138B6">
              <w:rPr>
                <w:sz w:val="18"/>
                <w:szCs w:val="18"/>
              </w:rPr>
              <w:t>Decrease by 40%</w:t>
            </w:r>
          </w:p>
        </w:tc>
        <w:tc>
          <w:tcPr>
            <w:tcW w:w="1705" w:type="dxa"/>
            <w:vAlign w:val="center"/>
          </w:tcPr>
          <w:p w14:paraId="55E8A557" w14:textId="77777777" w:rsidR="00006709" w:rsidRPr="003138B6" w:rsidRDefault="00006709" w:rsidP="00B52048">
            <w:pPr>
              <w:jc w:val="center"/>
              <w:rPr>
                <w:sz w:val="18"/>
                <w:szCs w:val="18"/>
              </w:rPr>
            </w:pPr>
          </w:p>
        </w:tc>
      </w:tr>
    </w:tbl>
    <w:p w14:paraId="228F23A1" w14:textId="1C140B33" w:rsidR="007D0A6D" w:rsidRDefault="00B52048" w:rsidP="00FF44F7">
      <w:pPr>
        <w:spacing w:after="0" w:line="240" w:lineRule="auto"/>
        <w:rPr>
          <w:sz w:val="18"/>
          <w:shd w:val="clear" w:color="auto" w:fill="DEEAF6" w:themeFill="accent5" w:themeFillTint="33"/>
        </w:rPr>
      </w:pPr>
      <w:r w:rsidRPr="0042573E">
        <w:rPr>
          <w:sz w:val="18"/>
        </w:rPr>
        <w:t xml:space="preserve">Note: These are all based on unduplicated headcount and the pre-populated data in the CCCCO Launchboard and NOVA reporting system. </w:t>
      </w:r>
      <w:r w:rsidR="00D1286E" w:rsidRPr="0042573E">
        <w:rPr>
          <w:noProof/>
          <w:sz w:val="18"/>
        </w:rPr>
        <w:t>The goals are</w:t>
      </w:r>
      <w:r w:rsidRPr="0042573E">
        <w:rPr>
          <w:sz w:val="18"/>
        </w:rPr>
        <w:t xml:space="preserve"> based on CCCCO recommendations.</w:t>
      </w:r>
      <w:r w:rsidR="0042573E">
        <w:rPr>
          <w:sz w:val="18"/>
        </w:rPr>
        <w:t xml:space="preserve"> </w:t>
      </w:r>
      <w:r w:rsidR="0042573E" w:rsidRPr="0042573E">
        <w:rPr>
          <w:sz w:val="18"/>
          <w:shd w:val="clear" w:color="auto" w:fill="DEEAF6" w:themeFill="accent5" w:themeFillTint="33"/>
        </w:rPr>
        <w:t>Related to Student-Centered Funding Formula</w:t>
      </w:r>
    </w:p>
    <w:p w14:paraId="63B0D0F2" w14:textId="77777777" w:rsidR="003138B6" w:rsidRDefault="003138B6">
      <w:pPr>
        <w:rPr>
          <w:sz w:val="20"/>
        </w:rPr>
      </w:pPr>
      <w:r>
        <w:rPr>
          <w:sz w:val="20"/>
        </w:rPr>
        <w:br w:type="page"/>
      </w:r>
    </w:p>
    <w:p w14:paraId="2C098259" w14:textId="6B457BF2" w:rsidR="00570048" w:rsidRDefault="004D6F1A" w:rsidP="00FF44F7">
      <w:pPr>
        <w:spacing w:after="0" w:line="240" w:lineRule="auto"/>
        <w:rPr>
          <w:sz w:val="20"/>
        </w:rPr>
      </w:pPr>
      <w:r>
        <w:rPr>
          <w:sz w:val="20"/>
        </w:rPr>
        <w:lastRenderedPageBreak/>
        <w:t>APPENDIX: Funding Associated with Outcomes</w:t>
      </w:r>
    </w:p>
    <w:p w14:paraId="71D60243" w14:textId="77777777" w:rsidR="004D6F1A" w:rsidRDefault="004D6F1A" w:rsidP="00FF44F7">
      <w:pPr>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081"/>
        <w:gridCol w:w="1171"/>
        <w:gridCol w:w="991"/>
        <w:gridCol w:w="899"/>
        <w:gridCol w:w="984"/>
      </w:tblGrid>
      <w:tr w:rsidR="004D6F1A" w:rsidRPr="00595654" w14:paraId="54EE50CC" w14:textId="77777777" w:rsidTr="004D6F1A">
        <w:trPr>
          <w:trHeight w:val="107"/>
        </w:trPr>
        <w:tc>
          <w:tcPr>
            <w:tcW w:w="2259" w:type="pct"/>
            <w:shd w:val="clear" w:color="auto" w:fill="E7E6E6" w:themeFill="background2"/>
          </w:tcPr>
          <w:p w14:paraId="1271BBBF"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b/>
                <w:bCs/>
                <w:sz w:val="18"/>
                <w:szCs w:val="18"/>
              </w:rPr>
              <w:t>All Students</w:t>
            </w:r>
          </w:p>
        </w:tc>
        <w:tc>
          <w:tcPr>
            <w:tcW w:w="578" w:type="pct"/>
            <w:shd w:val="clear" w:color="auto" w:fill="E7E6E6" w:themeFill="background2"/>
          </w:tcPr>
          <w:p w14:paraId="303C5C8A" w14:textId="77777777" w:rsidR="004D6F1A" w:rsidRPr="00595654" w:rsidRDefault="004D6F1A" w:rsidP="004D6F1A">
            <w:pPr>
              <w:pStyle w:val="Pa7"/>
              <w:spacing w:line="240" w:lineRule="auto"/>
              <w:jc w:val="center"/>
              <w:rPr>
                <w:rFonts w:asciiTheme="minorHAnsi" w:hAnsiTheme="minorHAnsi" w:cs="Source Sans Pro"/>
                <w:b/>
                <w:sz w:val="18"/>
                <w:szCs w:val="18"/>
              </w:rPr>
            </w:pPr>
            <w:r w:rsidRPr="00595654">
              <w:rPr>
                <w:rFonts w:asciiTheme="minorHAnsi" w:hAnsiTheme="minorHAnsi" w:cs="Source Sans Pro"/>
                <w:b/>
                <w:sz w:val="18"/>
                <w:szCs w:val="18"/>
              </w:rPr>
              <w:t>2018-19</w:t>
            </w:r>
          </w:p>
        </w:tc>
        <w:tc>
          <w:tcPr>
            <w:tcW w:w="626" w:type="pct"/>
            <w:shd w:val="clear" w:color="auto" w:fill="E7E6E6" w:themeFill="background2"/>
          </w:tcPr>
          <w:p w14:paraId="16B6DEEB" w14:textId="77777777" w:rsidR="004D6F1A" w:rsidRPr="00595654" w:rsidRDefault="004D6F1A" w:rsidP="004D6F1A">
            <w:pPr>
              <w:pStyle w:val="Pa7"/>
              <w:spacing w:line="240" w:lineRule="auto"/>
              <w:jc w:val="center"/>
              <w:rPr>
                <w:rFonts w:asciiTheme="minorHAnsi" w:hAnsiTheme="minorHAnsi" w:cs="Source Sans Pro"/>
                <w:b/>
                <w:sz w:val="18"/>
                <w:szCs w:val="18"/>
              </w:rPr>
            </w:pPr>
            <w:r w:rsidRPr="00595654">
              <w:rPr>
                <w:rFonts w:asciiTheme="minorHAnsi" w:hAnsiTheme="minorHAnsi" w:cs="Source Sans Pro"/>
                <w:b/>
                <w:sz w:val="18"/>
                <w:szCs w:val="18"/>
              </w:rPr>
              <w:t>2019-20</w:t>
            </w:r>
          </w:p>
        </w:tc>
        <w:tc>
          <w:tcPr>
            <w:tcW w:w="530" w:type="pct"/>
            <w:shd w:val="clear" w:color="auto" w:fill="E7E6E6" w:themeFill="background2"/>
          </w:tcPr>
          <w:p w14:paraId="0092AD79" w14:textId="77777777" w:rsidR="004D6F1A" w:rsidRPr="00595654" w:rsidRDefault="004D6F1A" w:rsidP="004D6F1A">
            <w:pPr>
              <w:pStyle w:val="Pa7"/>
              <w:spacing w:line="240" w:lineRule="auto"/>
              <w:jc w:val="center"/>
              <w:rPr>
                <w:rFonts w:asciiTheme="minorHAnsi" w:hAnsiTheme="minorHAnsi" w:cs="Source Sans Pro"/>
                <w:b/>
                <w:sz w:val="18"/>
                <w:szCs w:val="18"/>
              </w:rPr>
            </w:pPr>
            <w:r w:rsidRPr="00595654">
              <w:rPr>
                <w:rFonts w:asciiTheme="minorHAnsi" w:hAnsiTheme="minorHAnsi" w:cs="Source Sans Pro"/>
                <w:b/>
                <w:sz w:val="18"/>
                <w:szCs w:val="18"/>
              </w:rPr>
              <w:t>2020-21</w:t>
            </w:r>
          </w:p>
        </w:tc>
        <w:tc>
          <w:tcPr>
            <w:tcW w:w="481" w:type="pct"/>
            <w:shd w:val="clear" w:color="auto" w:fill="E7E6E6" w:themeFill="background2"/>
          </w:tcPr>
          <w:p w14:paraId="1615B51B" w14:textId="77777777" w:rsidR="004D6F1A" w:rsidRPr="00595654" w:rsidRDefault="004D6F1A" w:rsidP="004D6F1A">
            <w:pPr>
              <w:pStyle w:val="Pa7"/>
              <w:spacing w:line="240" w:lineRule="auto"/>
              <w:jc w:val="center"/>
              <w:rPr>
                <w:rFonts w:asciiTheme="minorHAnsi" w:hAnsiTheme="minorHAnsi" w:cs="Source Sans Pro"/>
                <w:b/>
                <w:sz w:val="18"/>
                <w:szCs w:val="18"/>
              </w:rPr>
            </w:pPr>
            <w:r w:rsidRPr="00595654">
              <w:rPr>
                <w:rFonts w:asciiTheme="minorHAnsi" w:hAnsiTheme="minorHAnsi" w:cs="Source Sans Pro"/>
                <w:b/>
                <w:sz w:val="18"/>
                <w:szCs w:val="18"/>
              </w:rPr>
              <w:t>2021-22</w:t>
            </w:r>
          </w:p>
        </w:tc>
        <w:tc>
          <w:tcPr>
            <w:tcW w:w="526" w:type="pct"/>
            <w:shd w:val="clear" w:color="auto" w:fill="E7E6E6" w:themeFill="background2"/>
          </w:tcPr>
          <w:p w14:paraId="59D17E7C" w14:textId="77777777" w:rsidR="004D6F1A" w:rsidRPr="00595654" w:rsidRDefault="004D6F1A" w:rsidP="004D6F1A">
            <w:pPr>
              <w:pStyle w:val="Pa7"/>
              <w:spacing w:line="240" w:lineRule="auto"/>
              <w:jc w:val="center"/>
              <w:rPr>
                <w:rFonts w:asciiTheme="minorHAnsi" w:hAnsiTheme="minorHAnsi" w:cs="Source Sans Pro"/>
                <w:b/>
                <w:sz w:val="18"/>
                <w:szCs w:val="18"/>
              </w:rPr>
            </w:pPr>
            <w:r w:rsidRPr="00595654">
              <w:rPr>
                <w:rFonts w:asciiTheme="minorHAnsi" w:hAnsiTheme="minorHAnsi" w:cs="Source Sans Pro"/>
                <w:b/>
                <w:sz w:val="18"/>
                <w:szCs w:val="18"/>
              </w:rPr>
              <w:t>2022-23</w:t>
            </w:r>
          </w:p>
        </w:tc>
      </w:tr>
      <w:tr w:rsidR="004D6F1A" w:rsidRPr="00595654" w14:paraId="5B114ECE" w14:textId="77777777" w:rsidTr="004D6F1A">
        <w:trPr>
          <w:trHeight w:val="113"/>
        </w:trPr>
        <w:tc>
          <w:tcPr>
            <w:tcW w:w="2259" w:type="pct"/>
            <w:shd w:val="clear" w:color="auto" w:fill="DEEAF6" w:themeFill="accent5" w:themeFillTint="33"/>
          </w:tcPr>
          <w:p w14:paraId="559E79ED"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Associate degree for transfer </w:t>
            </w:r>
          </w:p>
        </w:tc>
        <w:tc>
          <w:tcPr>
            <w:tcW w:w="578" w:type="pct"/>
            <w:shd w:val="clear" w:color="auto" w:fill="DEEAF6" w:themeFill="accent5" w:themeFillTint="33"/>
            <w:vAlign w:val="center"/>
          </w:tcPr>
          <w:p w14:paraId="3BB84E71" w14:textId="275F17B4"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w:t>
            </w:r>
            <w:r>
              <w:rPr>
                <w:rFonts w:asciiTheme="minorHAnsi" w:hAnsiTheme="minorHAnsi" w:cs="Source Sans Pro"/>
                <w:sz w:val="18"/>
                <w:szCs w:val="18"/>
              </w:rPr>
              <w:t>,</w:t>
            </w:r>
            <w:r w:rsidRPr="00595654">
              <w:rPr>
                <w:rFonts w:asciiTheme="minorHAnsi" w:hAnsiTheme="minorHAnsi" w:cs="Source Sans Pro"/>
                <w:sz w:val="18"/>
                <w:szCs w:val="18"/>
              </w:rPr>
              <w:t>760</w:t>
            </w:r>
          </w:p>
        </w:tc>
        <w:tc>
          <w:tcPr>
            <w:tcW w:w="626" w:type="pct"/>
            <w:shd w:val="clear" w:color="auto" w:fill="DEEAF6" w:themeFill="accent5" w:themeFillTint="33"/>
            <w:vAlign w:val="center"/>
          </w:tcPr>
          <w:p w14:paraId="28A61A9F" w14:textId="5A7A781F"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1,821</w:t>
            </w:r>
          </w:p>
        </w:tc>
        <w:tc>
          <w:tcPr>
            <w:tcW w:w="530" w:type="pct"/>
            <w:shd w:val="clear" w:color="auto" w:fill="DEEAF6" w:themeFill="accent5" w:themeFillTint="33"/>
            <w:vAlign w:val="center"/>
          </w:tcPr>
          <w:p w14:paraId="075809E0" w14:textId="5CFFC020"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3,621</w:t>
            </w:r>
          </w:p>
        </w:tc>
        <w:tc>
          <w:tcPr>
            <w:tcW w:w="481" w:type="pct"/>
            <w:shd w:val="clear" w:color="auto" w:fill="DEEAF6" w:themeFill="accent5" w:themeFillTint="33"/>
            <w:vAlign w:val="center"/>
          </w:tcPr>
          <w:p w14:paraId="577F8E1F" w14:textId="061D1116"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3,726</w:t>
            </w:r>
          </w:p>
        </w:tc>
        <w:tc>
          <w:tcPr>
            <w:tcW w:w="526" w:type="pct"/>
            <w:shd w:val="clear" w:color="auto" w:fill="DEEAF6" w:themeFill="accent5" w:themeFillTint="33"/>
            <w:vAlign w:val="center"/>
          </w:tcPr>
          <w:p w14:paraId="537C1A7F" w14:textId="2425316A"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3,834</w:t>
            </w:r>
          </w:p>
        </w:tc>
      </w:tr>
      <w:tr w:rsidR="004D6F1A" w:rsidRPr="00595654" w14:paraId="7A58EB7E" w14:textId="77777777" w:rsidTr="004D6F1A">
        <w:trPr>
          <w:trHeight w:val="113"/>
        </w:trPr>
        <w:tc>
          <w:tcPr>
            <w:tcW w:w="2259" w:type="pct"/>
          </w:tcPr>
          <w:p w14:paraId="4209186A"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Associate degree </w:t>
            </w:r>
          </w:p>
        </w:tc>
        <w:tc>
          <w:tcPr>
            <w:tcW w:w="578" w:type="pct"/>
            <w:vAlign w:val="center"/>
          </w:tcPr>
          <w:p w14:paraId="71FA83B4" w14:textId="6A278F51"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1,320</w:t>
            </w:r>
          </w:p>
        </w:tc>
        <w:tc>
          <w:tcPr>
            <w:tcW w:w="626" w:type="pct"/>
            <w:vAlign w:val="center"/>
          </w:tcPr>
          <w:p w14:paraId="329B917E" w14:textId="497B518B"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1,366</w:t>
            </w:r>
          </w:p>
        </w:tc>
        <w:tc>
          <w:tcPr>
            <w:tcW w:w="530" w:type="pct"/>
            <w:vAlign w:val="center"/>
          </w:tcPr>
          <w:p w14:paraId="1529676B" w14:textId="6040DF22"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2,716</w:t>
            </w:r>
          </w:p>
        </w:tc>
        <w:tc>
          <w:tcPr>
            <w:tcW w:w="481" w:type="pct"/>
            <w:vAlign w:val="center"/>
          </w:tcPr>
          <w:p w14:paraId="707122C6" w14:textId="4C9F1A6C"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2,795</w:t>
            </w:r>
          </w:p>
        </w:tc>
        <w:tc>
          <w:tcPr>
            <w:tcW w:w="526" w:type="pct"/>
            <w:vAlign w:val="center"/>
          </w:tcPr>
          <w:p w14:paraId="3F4FFAE5" w14:textId="41E580BB"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2,876</w:t>
            </w:r>
          </w:p>
        </w:tc>
      </w:tr>
      <w:tr w:rsidR="004D6F1A" w:rsidRPr="00595654" w14:paraId="08FE570F" w14:textId="77777777" w:rsidTr="004D6F1A">
        <w:trPr>
          <w:trHeight w:val="113"/>
        </w:trPr>
        <w:tc>
          <w:tcPr>
            <w:tcW w:w="2259" w:type="pct"/>
            <w:shd w:val="clear" w:color="auto" w:fill="DEEAF6" w:themeFill="accent5" w:themeFillTint="33"/>
          </w:tcPr>
          <w:p w14:paraId="404F4BD7"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Baccalaureate degree </w:t>
            </w:r>
          </w:p>
        </w:tc>
        <w:tc>
          <w:tcPr>
            <w:tcW w:w="578" w:type="pct"/>
            <w:shd w:val="clear" w:color="auto" w:fill="DEEAF6" w:themeFill="accent5" w:themeFillTint="33"/>
            <w:vAlign w:val="center"/>
          </w:tcPr>
          <w:p w14:paraId="3D1D55BE" w14:textId="68246952"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1,320</w:t>
            </w:r>
          </w:p>
        </w:tc>
        <w:tc>
          <w:tcPr>
            <w:tcW w:w="626" w:type="pct"/>
            <w:shd w:val="clear" w:color="auto" w:fill="DEEAF6" w:themeFill="accent5" w:themeFillTint="33"/>
            <w:vAlign w:val="center"/>
          </w:tcPr>
          <w:p w14:paraId="296F1D50" w14:textId="1AF428D3"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1,366</w:t>
            </w:r>
          </w:p>
        </w:tc>
        <w:tc>
          <w:tcPr>
            <w:tcW w:w="530" w:type="pct"/>
            <w:shd w:val="clear" w:color="auto" w:fill="DEEAF6" w:themeFill="accent5" w:themeFillTint="33"/>
            <w:vAlign w:val="center"/>
          </w:tcPr>
          <w:p w14:paraId="26C43DE3" w14:textId="33BD17E2"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2,716</w:t>
            </w:r>
          </w:p>
        </w:tc>
        <w:tc>
          <w:tcPr>
            <w:tcW w:w="481" w:type="pct"/>
            <w:shd w:val="clear" w:color="auto" w:fill="DEEAF6" w:themeFill="accent5" w:themeFillTint="33"/>
            <w:vAlign w:val="center"/>
          </w:tcPr>
          <w:p w14:paraId="5186ED4E" w14:textId="0EC56C8A"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2,795</w:t>
            </w:r>
          </w:p>
        </w:tc>
        <w:tc>
          <w:tcPr>
            <w:tcW w:w="526" w:type="pct"/>
            <w:shd w:val="clear" w:color="auto" w:fill="DEEAF6" w:themeFill="accent5" w:themeFillTint="33"/>
            <w:vAlign w:val="center"/>
          </w:tcPr>
          <w:p w14:paraId="404A99E2" w14:textId="1C885BE1"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2,876</w:t>
            </w:r>
          </w:p>
        </w:tc>
      </w:tr>
      <w:tr w:rsidR="004D6F1A" w:rsidRPr="00595654" w14:paraId="3751ECAA" w14:textId="77777777" w:rsidTr="004D6F1A">
        <w:trPr>
          <w:trHeight w:val="113"/>
        </w:trPr>
        <w:tc>
          <w:tcPr>
            <w:tcW w:w="2259" w:type="pct"/>
          </w:tcPr>
          <w:p w14:paraId="205E99C4"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Credit certificate requiring 16 or more units </w:t>
            </w:r>
          </w:p>
        </w:tc>
        <w:tc>
          <w:tcPr>
            <w:tcW w:w="578" w:type="pct"/>
            <w:vAlign w:val="center"/>
          </w:tcPr>
          <w:p w14:paraId="683DBA55" w14:textId="57E95A9C"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880</w:t>
            </w:r>
          </w:p>
        </w:tc>
        <w:tc>
          <w:tcPr>
            <w:tcW w:w="626" w:type="pct"/>
            <w:vAlign w:val="center"/>
          </w:tcPr>
          <w:p w14:paraId="23224FAF" w14:textId="23CEECA3"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910</w:t>
            </w:r>
          </w:p>
        </w:tc>
        <w:tc>
          <w:tcPr>
            <w:tcW w:w="530" w:type="pct"/>
            <w:vAlign w:val="center"/>
          </w:tcPr>
          <w:p w14:paraId="7657A943" w14:textId="784A0E97"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1,810</w:t>
            </w:r>
          </w:p>
        </w:tc>
        <w:tc>
          <w:tcPr>
            <w:tcW w:w="481" w:type="pct"/>
            <w:vAlign w:val="center"/>
          </w:tcPr>
          <w:p w14:paraId="1C05747D" w14:textId="46E1B2AA"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1,863</w:t>
            </w:r>
          </w:p>
        </w:tc>
        <w:tc>
          <w:tcPr>
            <w:tcW w:w="526" w:type="pct"/>
            <w:vAlign w:val="center"/>
          </w:tcPr>
          <w:p w14:paraId="1852B0B6" w14:textId="36398754"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1,917</w:t>
            </w:r>
          </w:p>
        </w:tc>
      </w:tr>
      <w:tr w:rsidR="004D6F1A" w:rsidRPr="00595654" w14:paraId="5440F0B9" w14:textId="77777777" w:rsidTr="004D6F1A">
        <w:trPr>
          <w:trHeight w:val="329"/>
        </w:trPr>
        <w:tc>
          <w:tcPr>
            <w:tcW w:w="2259" w:type="pct"/>
            <w:shd w:val="clear" w:color="auto" w:fill="DEEAF6" w:themeFill="accent5" w:themeFillTint="33"/>
          </w:tcPr>
          <w:p w14:paraId="5CF11896"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Transfer-level math and English courses completed within the student’s first academic year of enrollment </w:t>
            </w:r>
          </w:p>
        </w:tc>
        <w:tc>
          <w:tcPr>
            <w:tcW w:w="578" w:type="pct"/>
            <w:shd w:val="clear" w:color="auto" w:fill="DEEAF6" w:themeFill="accent5" w:themeFillTint="33"/>
            <w:vAlign w:val="center"/>
          </w:tcPr>
          <w:p w14:paraId="284922BD" w14:textId="2E45FB20"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880</w:t>
            </w:r>
          </w:p>
        </w:tc>
        <w:tc>
          <w:tcPr>
            <w:tcW w:w="626" w:type="pct"/>
            <w:shd w:val="clear" w:color="auto" w:fill="DEEAF6" w:themeFill="accent5" w:themeFillTint="33"/>
            <w:vAlign w:val="center"/>
          </w:tcPr>
          <w:p w14:paraId="18C663E3" w14:textId="5458F5B7"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910</w:t>
            </w:r>
          </w:p>
        </w:tc>
        <w:tc>
          <w:tcPr>
            <w:tcW w:w="530" w:type="pct"/>
            <w:shd w:val="clear" w:color="auto" w:fill="DEEAF6" w:themeFill="accent5" w:themeFillTint="33"/>
            <w:vAlign w:val="center"/>
          </w:tcPr>
          <w:p w14:paraId="0DF2A9EC" w14:textId="4C1EC0B9"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1,810</w:t>
            </w:r>
          </w:p>
        </w:tc>
        <w:tc>
          <w:tcPr>
            <w:tcW w:w="481" w:type="pct"/>
            <w:shd w:val="clear" w:color="auto" w:fill="DEEAF6" w:themeFill="accent5" w:themeFillTint="33"/>
            <w:vAlign w:val="center"/>
          </w:tcPr>
          <w:p w14:paraId="316D8DE3" w14:textId="5B8FF700"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1,863</w:t>
            </w:r>
          </w:p>
        </w:tc>
        <w:tc>
          <w:tcPr>
            <w:tcW w:w="526" w:type="pct"/>
            <w:shd w:val="clear" w:color="auto" w:fill="DEEAF6" w:themeFill="accent5" w:themeFillTint="33"/>
            <w:vAlign w:val="center"/>
          </w:tcPr>
          <w:p w14:paraId="52E91E6C" w14:textId="58096B05"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1,917</w:t>
            </w:r>
          </w:p>
        </w:tc>
      </w:tr>
      <w:tr w:rsidR="004D6F1A" w:rsidRPr="00595654" w14:paraId="4329ED2A" w14:textId="77777777" w:rsidTr="004D6F1A">
        <w:trPr>
          <w:trHeight w:val="113"/>
        </w:trPr>
        <w:tc>
          <w:tcPr>
            <w:tcW w:w="2259" w:type="pct"/>
          </w:tcPr>
          <w:p w14:paraId="5A5FBABA"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Transfer to an accredited four-year university </w:t>
            </w:r>
          </w:p>
        </w:tc>
        <w:tc>
          <w:tcPr>
            <w:tcW w:w="578" w:type="pct"/>
            <w:vAlign w:val="center"/>
          </w:tcPr>
          <w:p w14:paraId="258B6363" w14:textId="4DBFB60B"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660</w:t>
            </w:r>
          </w:p>
        </w:tc>
        <w:tc>
          <w:tcPr>
            <w:tcW w:w="626" w:type="pct"/>
            <w:vAlign w:val="center"/>
          </w:tcPr>
          <w:p w14:paraId="6F70A36E" w14:textId="73D758C6"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683</w:t>
            </w:r>
          </w:p>
        </w:tc>
        <w:tc>
          <w:tcPr>
            <w:tcW w:w="530" w:type="pct"/>
            <w:vAlign w:val="center"/>
          </w:tcPr>
          <w:p w14:paraId="4F3AA454" w14:textId="52D45B70"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1,358</w:t>
            </w:r>
          </w:p>
        </w:tc>
        <w:tc>
          <w:tcPr>
            <w:tcW w:w="481" w:type="pct"/>
            <w:vAlign w:val="center"/>
          </w:tcPr>
          <w:p w14:paraId="17BEFD9D" w14:textId="3D03B3A3"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1,397</w:t>
            </w:r>
          </w:p>
        </w:tc>
        <w:tc>
          <w:tcPr>
            <w:tcW w:w="526" w:type="pct"/>
            <w:vAlign w:val="center"/>
          </w:tcPr>
          <w:p w14:paraId="1514345F" w14:textId="7C5B7FEC"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1,438</w:t>
            </w:r>
          </w:p>
        </w:tc>
      </w:tr>
      <w:tr w:rsidR="004D6F1A" w:rsidRPr="00595654" w14:paraId="4CDC9A52" w14:textId="77777777" w:rsidTr="004D6F1A">
        <w:trPr>
          <w:trHeight w:val="221"/>
        </w:trPr>
        <w:tc>
          <w:tcPr>
            <w:tcW w:w="2259" w:type="pct"/>
            <w:shd w:val="clear" w:color="auto" w:fill="DEEAF6" w:themeFill="accent5" w:themeFillTint="33"/>
          </w:tcPr>
          <w:p w14:paraId="3A7C3721"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9 or more career technical education units completed </w:t>
            </w:r>
          </w:p>
        </w:tc>
        <w:tc>
          <w:tcPr>
            <w:tcW w:w="578" w:type="pct"/>
            <w:shd w:val="clear" w:color="auto" w:fill="DEEAF6" w:themeFill="accent5" w:themeFillTint="33"/>
            <w:vAlign w:val="center"/>
          </w:tcPr>
          <w:p w14:paraId="4A5BC2C8" w14:textId="4EB79F68"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440</w:t>
            </w:r>
          </w:p>
        </w:tc>
        <w:tc>
          <w:tcPr>
            <w:tcW w:w="626" w:type="pct"/>
            <w:shd w:val="clear" w:color="auto" w:fill="DEEAF6" w:themeFill="accent5" w:themeFillTint="33"/>
            <w:vAlign w:val="center"/>
          </w:tcPr>
          <w:p w14:paraId="3D4C4BAC" w14:textId="2775A854"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455</w:t>
            </w:r>
          </w:p>
        </w:tc>
        <w:tc>
          <w:tcPr>
            <w:tcW w:w="530" w:type="pct"/>
            <w:shd w:val="clear" w:color="auto" w:fill="DEEAF6" w:themeFill="accent5" w:themeFillTint="33"/>
            <w:vAlign w:val="center"/>
          </w:tcPr>
          <w:p w14:paraId="32FFD73B" w14:textId="37C4B68C"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905</w:t>
            </w:r>
          </w:p>
        </w:tc>
        <w:tc>
          <w:tcPr>
            <w:tcW w:w="481" w:type="pct"/>
            <w:shd w:val="clear" w:color="auto" w:fill="DEEAF6" w:themeFill="accent5" w:themeFillTint="33"/>
            <w:vAlign w:val="center"/>
          </w:tcPr>
          <w:p w14:paraId="1BF0D2CB" w14:textId="520F38A0"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932</w:t>
            </w:r>
          </w:p>
        </w:tc>
        <w:tc>
          <w:tcPr>
            <w:tcW w:w="526" w:type="pct"/>
            <w:shd w:val="clear" w:color="auto" w:fill="DEEAF6" w:themeFill="accent5" w:themeFillTint="33"/>
            <w:vAlign w:val="center"/>
          </w:tcPr>
          <w:p w14:paraId="00D37FDB" w14:textId="5D476A28"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959</w:t>
            </w:r>
          </w:p>
        </w:tc>
      </w:tr>
      <w:tr w:rsidR="004D6F1A" w:rsidRPr="00595654" w14:paraId="524E1CE7" w14:textId="77777777" w:rsidTr="004D6F1A">
        <w:trPr>
          <w:trHeight w:val="80"/>
        </w:trPr>
        <w:tc>
          <w:tcPr>
            <w:tcW w:w="2259" w:type="pct"/>
          </w:tcPr>
          <w:p w14:paraId="46192A9C" w14:textId="77777777" w:rsidR="004D6F1A" w:rsidRPr="00595654" w:rsidRDefault="004D6F1A" w:rsidP="004D6F1A">
            <w:pPr>
              <w:pStyle w:val="Pa6"/>
              <w:spacing w:line="240" w:lineRule="auto"/>
              <w:rPr>
                <w:rFonts w:asciiTheme="minorHAnsi" w:hAnsiTheme="minorHAnsi" w:cs="Source Sans Pro"/>
                <w:sz w:val="18"/>
                <w:szCs w:val="18"/>
              </w:rPr>
            </w:pPr>
            <w:r w:rsidRPr="00595654">
              <w:rPr>
                <w:rFonts w:asciiTheme="minorHAnsi" w:hAnsiTheme="minorHAnsi" w:cs="Source Sans Pro"/>
                <w:sz w:val="18"/>
                <w:szCs w:val="18"/>
              </w:rPr>
              <w:t xml:space="preserve">Regional living wage obtained within one year of community college completion </w:t>
            </w:r>
          </w:p>
        </w:tc>
        <w:tc>
          <w:tcPr>
            <w:tcW w:w="578" w:type="pct"/>
            <w:vAlign w:val="center"/>
          </w:tcPr>
          <w:p w14:paraId="4E847A6A" w14:textId="756B49B2"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440</w:t>
            </w:r>
          </w:p>
        </w:tc>
        <w:tc>
          <w:tcPr>
            <w:tcW w:w="626" w:type="pct"/>
            <w:vAlign w:val="center"/>
          </w:tcPr>
          <w:p w14:paraId="4B5902E2" w14:textId="67C776DB"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455</w:t>
            </w:r>
          </w:p>
        </w:tc>
        <w:tc>
          <w:tcPr>
            <w:tcW w:w="530" w:type="pct"/>
            <w:vAlign w:val="center"/>
          </w:tcPr>
          <w:p w14:paraId="30D071CB" w14:textId="109BF10E"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905</w:t>
            </w:r>
          </w:p>
        </w:tc>
        <w:tc>
          <w:tcPr>
            <w:tcW w:w="481" w:type="pct"/>
            <w:vAlign w:val="center"/>
          </w:tcPr>
          <w:p w14:paraId="47AA3C7B" w14:textId="2CFC25BF"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932</w:t>
            </w:r>
          </w:p>
        </w:tc>
        <w:tc>
          <w:tcPr>
            <w:tcW w:w="526" w:type="pct"/>
            <w:vAlign w:val="center"/>
          </w:tcPr>
          <w:p w14:paraId="68DF1C50" w14:textId="17C07041" w:rsidR="004D6F1A" w:rsidRPr="00595654" w:rsidRDefault="004D6F1A" w:rsidP="004D6F1A">
            <w:pPr>
              <w:pStyle w:val="Pa7"/>
              <w:spacing w:line="240" w:lineRule="auto"/>
              <w:jc w:val="center"/>
              <w:rPr>
                <w:rFonts w:asciiTheme="minorHAnsi" w:hAnsiTheme="minorHAnsi" w:cs="Source Sans Pro"/>
                <w:sz w:val="18"/>
                <w:szCs w:val="18"/>
              </w:rPr>
            </w:pPr>
            <w:r>
              <w:rPr>
                <w:rFonts w:asciiTheme="minorHAnsi" w:hAnsiTheme="minorHAnsi" w:cs="Source Sans Pro"/>
                <w:sz w:val="18"/>
                <w:szCs w:val="18"/>
              </w:rPr>
              <w:t xml:space="preserve">$ </w:t>
            </w:r>
            <w:r w:rsidRPr="00595654">
              <w:rPr>
                <w:rFonts w:asciiTheme="minorHAnsi" w:hAnsiTheme="minorHAnsi" w:cs="Source Sans Pro"/>
                <w:sz w:val="18"/>
                <w:szCs w:val="18"/>
              </w:rPr>
              <w:t>959</w:t>
            </w:r>
          </w:p>
        </w:tc>
      </w:tr>
    </w:tbl>
    <w:p w14:paraId="2AC63F28" w14:textId="77777777" w:rsidR="004D6F1A" w:rsidRDefault="004D6F1A" w:rsidP="00FF44F7">
      <w:pPr>
        <w:spacing w:after="0" w:line="240" w:lineRule="auto"/>
        <w:rPr>
          <w:sz w:val="20"/>
        </w:rPr>
      </w:pPr>
    </w:p>
    <w:p w14:paraId="6F5D61FE" w14:textId="77777777" w:rsidR="00C753D9" w:rsidRDefault="00C753D9" w:rsidP="00FF44F7">
      <w:pPr>
        <w:spacing w:after="0" w:line="240" w:lineRule="auto"/>
        <w:rPr>
          <w:sz w:val="20"/>
        </w:rPr>
      </w:pPr>
    </w:p>
    <w:sectPr w:rsidR="00C7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90243"/>
    <w:multiLevelType w:val="hybridMultilevel"/>
    <w:tmpl w:val="D1F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yNLYwMTcyNjc2MDVV0lEKTi0uzszPAykwrgUAzHtnUSwAAAA="/>
  </w:docVars>
  <w:rsids>
    <w:rsidRoot w:val="007D0A6D"/>
    <w:rsid w:val="00006709"/>
    <w:rsid w:val="001B35C3"/>
    <w:rsid w:val="00280794"/>
    <w:rsid w:val="003138B6"/>
    <w:rsid w:val="0042573E"/>
    <w:rsid w:val="004D6F1A"/>
    <w:rsid w:val="00570048"/>
    <w:rsid w:val="005945E3"/>
    <w:rsid w:val="007D0A6D"/>
    <w:rsid w:val="008B73AE"/>
    <w:rsid w:val="00913860"/>
    <w:rsid w:val="009C08B9"/>
    <w:rsid w:val="00B52048"/>
    <w:rsid w:val="00C21F66"/>
    <w:rsid w:val="00C753D9"/>
    <w:rsid w:val="00D1286E"/>
    <w:rsid w:val="00FB4EB7"/>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F9C3"/>
  <w15:chartTrackingRefBased/>
  <w15:docId w15:val="{0165AF37-7755-4EEC-B69B-F3ABF0C6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A6D"/>
    <w:pPr>
      <w:ind w:left="720"/>
      <w:contextualSpacing/>
    </w:pPr>
  </w:style>
  <w:style w:type="character" w:customStyle="1" w:styleId="Heading1Char">
    <w:name w:val="Heading 1 Char"/>
    <w:basedOn w:val="DefaultParagraphFont"/>
    <w:link w:val="Heading1"/>
    <w:uiPriority w:val="9"/>
    <w:rsid w:val="00FF44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44F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B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AE"/>
    <w:rPr>
      <w:rFonts w:ascii="Segoe UI" w:hAnsi="Segoe UI" w:cs="Segoe UI"/>
      <w:sz w:val="18"/>
      <w:szCs w:val="18"/>
    </w:rPr>
  </w:style>
  <w:style w:type="paragraph" w:customStyle="1" w:styleId="Pa6">
    <w:name w:val="Pa6"/>
    <w:basedOn w:val="Normal"/>
    <w:next w:val="Normal"/>
    <w:uiPriority w:val="99"/>
    <w:rsid w:val="004D6F1A"/>
    <w:pPr>
      <w:autoSpaceDE w:val="0"/>
      <w:autoSpaceDN w:val="0"/>
      <w:adjustRightInd w:val="0"/>
      <w:spacing w:after="0" w:line="181" w:lineRule="atLeast"/>
    </w:pPr>
    <w:rPr>
      <w:rFonts w:ascii="Source Sans Pro" w:hAnsi="Source Sans Pro"/>
      <w:sz w:val="24"/>
      <w:szCs w:val="24"/>
    </w:rPr>
  </w:style>
  <w:style w:type="paragraph" w:customStyle="1" w:styleId="Pa7">
    <w:name w:val="Pa7"/>
    <w:basedOn w:val="Normal"/>
    <w:next w:val="Normal"/>
    <w:uiPriority w:val="99"/>
    <w:rsid w:val="004D6F1A"/>
    <w:pPr>
      <w:autoSpaceDE w:val="0"/>
      <w:autoSpaceDN w:val="0"/>
      <w:adjustRightInd w:val="0"/>
      <w:spacing w:after="0" w:line="181" w:lineRule="atLeast"/>
    </w:pPr>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A67FA-F39B-40FD-A192-F349ABFEBABE}"/>
</file>

<file path=customXml/itemProps2.xml><?xml version="1.0" encoding="utf-8"?>
<ds:datastoreItem xmlns:ds="http://schemas.openxmlformats.org/officeDocument/2006/customXml" ds:itemID="{32B4EA91-7F9C-4060-B7C6-EBE94C8B091E}"/>
</file>

<file path=customXml/itemProps3.xml><?xml version="1.0" encoding="utf-8"?>
<ds:datastoreItem xmlns:ds="http://schemas.openxmlformats.org/officeDocument/2006/customXml" ds:itemID="{89033446-4556-48DD-A70C-240DDA8A80C1}"/>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Zentner</dc:creator>
  <cp:keywords/>
  <dc:description/>
  <cp:lastModifiedBy>Lopez, Yadira</cp:lastModifiedBy>
  <cp:revision>2</cp:revision>
  <cp:lastPrinted>2019-02-19T23:57:00Z</cp:lastPrinted>
  <dcterms:created xsi:type="dcterms:W3CDTF">2019-03-14T18:47:00Z</dcterms:created>
  <dcterms:modified xsi:type="dcterms:W3CDTF">2019-03-14T18:47:00Z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